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textAlignment w:val="baseline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76" w:before="0" w:after="0"/>
        <w:textAlignment w:val="baseline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76" w:before="0" w:after="0"/>
        <w:textAlignment w:val="baseline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76" w:before="0" w:after="0"/>
        <w:textAlignment w:val="baseline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76" w:before="0" w:after="0"/>
        <w:textAlignment w:val="baseline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70"/>
        <w:gridCol w:w="7002"/>
      </w:tblGrid>
      <w:tr>
        <w:trPr/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DD8E6" w:val="clear"/>
          </w:tcPr>
          <w:p>
            <w:pPr>
              <w:pStyle w:val="Zawartotabeli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  <w:t>Nazwa Diety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DD8E6" w:val="clear"/>
          </w:tcPr>
          <w:p>
            <w:pPr>
              <w:pStyle w:val="Defaul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DIETA ŁATWOSTRAWNA (D02) </w:t>
            </w:r>
          </w:p>
          <w:p>
            <w:pPr>
              <w:pStyle w:val="Defaul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48" w:hRule="atLeast"/>
        </w:trPr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  <w:t>Zastosowanie</w:t>
            </w:r>
          </w:p>
        </w:tc>
        <w:tc>
          <w:tcPr>
            <w:tcW w:w="7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la osób: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1) po zabiegach chirurgicznych;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2) w trakcie rekonwalescencji;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3) w przewlekłym zapaleniu wątroby;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4) w przewlekłym zapaleniu trzustki;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5) w nadpobudliwości jelita grubego, biegunkach;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6) w żywieniu osób w podeszłym wieku;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7) w chorobach zapalnych żołądka;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8) w refluksie żołądkowo-przełykowym;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9) w chorobie wrzodowej żołądka i dwunastnicy;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10) w dyspepsji czynnościowej żołądka;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11) w przewlekłym nadkwaśnym nieżycie żołądka. </w:t>
            </w:r>
          </w:p>
          <w:p>
            <w:pPr>
              <w:pStyle w:val="Default"/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</w:r>
          </w:p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11900" w:hRule="atLeast"/>
        </w:trPr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  <w:t>Zalecenia Dietetyczne</w:t>
            </w:r>
          </w:p>
        </w:tc>
        <w:tc>
          <w:tcPr>
            <w:tcW w:w="7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dieta łatwostrawna jest modyfikacją diety podstawowej, polegającą m.in. na odpowiednim doborze technik kulinarnych takich jak np. gotowanie w wodzie i na parze łączone z przecieraniem, miksowaniem, rozdrabnianiem mającym poprawić strawność składników odżywczych;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wartość energetyczna i odżywcza diety dostosowywana jest do masy ciała i stanu fizjologicznego pacjenta, w oparciu o aktualne normy żywienia dla populacji Rzeczypospolitej Polskiej oraz wytyczne towarzystw naukowych w zakresie żywienia;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dieta powinna być prawidłowo zbilansowana i urozmaicona pod kątem udziału grup produktów spożywczych: produktów zbożowych, mlecznych, warzyw i owoców, ziemniaków, produktów mięsnych i ryb oraz tłuszczów;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dieta łatwostrawna powinna opierać się na spożyciu produktów i potraw świeżych, o zmniejszonej ilości nierozpuszczalnej w wodzie frakcji błonnika pokarmowego, z wykluczeniem potraw wzdymających i ciężkostrawnych;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temperatura dostarczanych posiłków gorących powinna wynosić minimum 60○C, natomiast z uwagi na specyfikę diety pacjent może spożywać posiłek przestudzony, o temperaturze zbliżonej do temperatury ciała człowieka;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posiłki powinny być podawane 4–5 razy dziennie – regularnie, o stałych porach, zgodnie z zaleceniami lekarza lub dietetyka;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dieta powinna być różnorodna, urozmaicona pod względem smaku, kolorystyki, konsystencji i strawności potraw oraz obróbki termicznej;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w każdym posiłku należy uwzględnić wodę lub napój – w przypadku kompotu zawartość cukru dodanego nie może być większa niż 5 g cukru w 250 ml kompotu, pozostałe napoje (np. kawa, herbata) powinny być przygotowywane bez cukru;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poza napojami uwzględnionymi w jadłospisie, pacjent powinien mieć zapewniony stały dostęp do wody pitnej – rekomendowane są dystrybutory z wodą na każdym oddziale;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każdego dnia należy podawać co najmniej 1 porcję z grupy mięso lub jaja lub dozwolone produkty z nasion roślin strączkowych, inne roślinne zamienniki białka zwierzęcego;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 dodatek dozwolonych warzyw lub owoców do każdego posiłku (minimum 400 g dziennie – do gramatury nie są wliczane ziemniaki i bataty), z przewagą warzyw – przynajmniej część warzyw i owoców powinna być podawana w postaci surowej w postaci mus</w:t>
            </w:r>
            <w:r>
              <w:rPr>
                <w:sz w:val="24"/>
                <w:szCs w:val="24"/>
              </w:rPr>
              <w:t>ów albo przetartych bez skórki i pestki</w:t>
            </w:r>
          </w:p>
          <w:p>
            <w:pPr>
              <w:pStyle w:val="Normal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2) mleko i przetwory mleczne, w tym napoje fermentowane lub produkty roślinne fortyfikowane zastępujące produkty mleczne powinny być podawane co najmniej w 2 posiłkach w ciągu dnia; </w:t>
            </w:r>
          </w:p>
          <w:p>
            <w:pPr>
              <w:pStyle w:val="Default"/>
              <w:tabs>
                <w:tab w:val="clear" w:pos="720"/>
              </w:tabs>
              <w:rPr/>
            </w:pPr>
            <w:r>
              <w:rPr>
                <w:sz w:val="22"/>
              </w:rPr>
              <w:t>1</w:t>
            </w:r>
            <w:r>
              <w:rPr>
                <w:sz w:val="24"/>
                <w:szCs w:val="24"/>
              </w:rPr>
              <w:t xml:space="preserve">3) ryby lub przetwory rybne (głównie z ryb morskich) należy uwzględnić co najmniej 3 razy w jadłospisie dekadowym;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14) tłuszcze zwierzęce (takie jak smalec, słonina, łój wołowy, smalec gęsi) należy całkowicie wyeliminować z diety. Nie należy używać ich ani do przygotowywania potraw na ciepło, ani na zimno. Jedynym tłuszczem zwierzęcym, który zaleca się stosować w niewielkich ilościach, w postaci na surowej, na zimno (np. do smarowania pieczywa lub jako dodatek do warzyw po ugotowaniu) jest masło. Podstawowym źródłem tłuszczu w jadłospisie powinny być tłuszcze roślinne – np. olej rzepakowy, lniany, oliwa z oliwek czy miękkie margaryny. Wyjątek stanowią olej kokosowy i olej palmowy, które nie są zalecane i również należy je wykluczyć;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15) przynajmniej 1 posiłek w ciągu dnia powinien zawierać produkty bogate w kwasy tłuszczowe nienasycone;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16) należy eliminować cukry dodane (tj. monocukry i dwucukry dodawane do żywności);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17) zaleca się ograniczenie potraw ciężkostrawnych i wzdymających;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18) dopuszcza się okazjonalne włączenie wybranych produktów świątecznych, związanych z tradycjami narodowymi, pod warunkiem, że są one planowane w umiarkowanych ilościach, a ich skład i sposób przygotowania nie obciąża przewodu pokarmowego (np. unikanie produktów tłustych, smażonych lub ciężkostrawnych dodatków). Wprowadzenie tych produktów powinno być dostosowane do zasad diety łatwostrawnej. </w:t>
            </w:r>
          </w:p>
          <w:p>
            <w:pPr>
              <w:pStyle w:val="Default"/>
              <w:tabs>
                <w:tab w:val="clear" w:pos="72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Przy doborze produktów należy zwrócić uwagę na ich: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19) jakość;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20) termin przydatności do spożycia;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21) sezonowość.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Stosowane techniki kulinarne: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22) gotowanie tradycyjne lub na parze;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23) duszenie bez wcześniejszego obsmażania;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24) pieczenie bez dodatku tłuszczu, np. w folii aluminiowej, w rękawach do pieczenia, pergaminie, naczyniach żaroodpornych oraz w piecach konwekcyjnych.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Praktyczne wskazówki dotyczące sporządzania posiłków: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25) zupy, sosy oraz potrawy należy sporządzać z naturalnych składników, bez użycia koncentratów spożywczych, z wyłączeniem koncentratów z naturalnych składników;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26) wykluczyć zabielanie zup i sosów śmietaną i jej roślinnymi zamiennikami np. mleczkiem kokosowym;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27) nie dodawać do potraw zasmażek; </w:t>
            </w:r>
          </w:p>
          <w:p>
            <w:pPr>
              <w:pStyle w:val="Default"/>
              <w:tabs>
                <w:tab w:val="clear" w:pos="720"/>
              </w:tabs>
              <w:rPr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28) do minimum ograniczyć cukier dodawany do napojów i potraw; </w:t>
            </w:r>
          </w:p>
          <w:p>
            <w:pPr>
              <w:pStyle w:val="Default"/>
              <w:tabs>
                <w:tab w:val="clear" w:pos="720"/>
              </w:tabs>
              <w:rPr>
                <w:sz w:val="24"/>
                <w:szCs w:val="24"/>
              </w:rPr>
            </w:pPr>
            <w:r>
              <w:rPr>
                <w:strike w:val="false"/>
                <w:dstrike w:val="false"/>
                <w:sz w:val="24"/>
                <w:szCs w:val="24"/>
                <w:u w:val="none"/>
              </w:rPr>
              <w:t xml:space="preserve">29) do minimum ograniczyć dodatek soli na rzecz ziół i naturalnych </w:t>
            </w:r>
            <w:r>
              <w:rPr>
                <w:strike w:val="false"/>
                <w:dstrike w:val="false"/>
                <w:sz w:val="24"/>
                <w:szCs w:val="24"/>
                <w:u w:val="none"/>
              </w:rPr>
              <w:t>przypraw</w:t>
            </w:r>
          </w:p>
          <w:p>
            <w:pPr>
              <w:pStyle w:val="Zawartotabeli"/>
              <w:rPr/>
            </w:pPr>
            <w:r>
              <w:rPr/>
            </w:r>
          </w:p>
          <w:p>
            <w:pPr>
              <w:pStyle w:val="Default"/>
              <w:rPr>
                <w:strike w:val="false"/>
                <w:dstrike w:val="false"/>
                <w:sz w:val="22"/>
                <w:u w:val="none"/>
              </w:rPr>
            </w:pPr>
            <w:r>
              <w:rPr>
                <w:strike w:val="false"/>
                <w:dstrike w:val="false"/>
                <w:sz w:val="22"/>
                <w:u w:val="non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Defaul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70"/>
        <w:gridCol w:w="2667"/>
        <w:gridCol w:w="4335"/>
      </w:tblGrid>
      <w:tr>
        <w:trPr/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CDCDC" w:val="clear"/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Wartość energetyczna </w:t>
            </w:r>
          </w:p>
          <w:p>
            <w:pPr>
              <w:pStyle w:val="Default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spacing w:before="0" w:after="16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Energia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1800-2400 kcal/dobę</w:t>
            </w:r>
          </w:p>
        </w:tc>
      </w:tr>
      <w:tr>
        <w:trPr/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Tłuszcz ogółem                      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 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Wartość referencyjna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 2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0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–3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0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 %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Energii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22-33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g/1000 kcal</w:t>
            </w:r>
          </w:p>
        </w:tc>
      </w:tr>
      <w:tr>
        <w:trPr/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w tym nasycone kwasy tłuszczowe 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Wartość referencyjna jak najmniej 10% energii 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≤ 11 g/1000 kcal </w:t>
            </w:r>
          </w:p>
        </w:tc>
      </w:tr>
      <w:tr>
        <w:trPr/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Węglowodany ogółem 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Wartość referencyjna 45-65% EN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113-163g /1000kcal</w:t>
            </w:r>
          </w:p>
        </w:tc>
      </w:tr>
      <w:tr>
        <w:trPr/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w tym cukry (mono- i disacharydy) 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W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artości referencyjne: ≤10 % En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≤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25 g/1000 kcal</w:t>
            </w:r>
          </w:p>
        </w:tc>
      </w:tr>
      <w:tr>
        <w:trPr/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Błonnik 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≥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25 g/dobę </w:t>
            </w:r>
          </w:p>
        </w:tc>
      </w:tr>
      <w:tr>
        <w:trPr/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Sód </w:t>
            </w:r>
          </w:p>
        </w:tc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≤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2000 mg/dobę </w:t>
            </w:r>
          </w:p>
        </w:tc>
      </w:tr>
    </w:tbl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70"/>
        <w:gridCol w:w="3467"/>
        <w:gridCol w:w="3535"/>
      </w:tblGrid>
      <w:tr>
        <w:trPr/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Grupy środków spożywczych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Produkty Rekomendowane</w:t>
            </w:r>
          </w:p>
          <w:p>
            <w:pPr>
              <w:pStyle w:val="Defau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Produkty Nierekomendowane </w:t>
            </w:r>
          </w:p>
        </w:tc>
      </w:tr>
      <w:tr>
        <w:trPr>
          <w:trHeight w:val="5352" w:hRule="atLeast"/>
        </w:trPr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Produkty zbożowe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1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) wszystkie mąki średniego i niskiego przemiału;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2) mąka pszenna, żytnia, ziemniaczana, kukurydziana, ryżowa;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3) białe pieczywo pszenne, żytnie i mieszane, graham, grahamki;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4) kasze średnio i drobnoziarniste, np.: manna, kukurydziana, jęczmienna (mazurska, wiejska), orkiszowa, jaglana, krakowska;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5) płatki naturalne błyskawiczne np.: owsiane, gryczane, jęczmienne, żytnie, ryżowe;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6) makarony drobne;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7) ryż biały;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8) potrawy mączne, np.: pierogi, kopytka, kluski bez okrasy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w ograniczonych ilościach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9) suchary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Defau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1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) wszystkie mąki pełnoziarniste;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2) pieczywo z dodatkiem cukru, słodu, syropów, miodu, karmelu;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3) pieczywo pełnoziarniste;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4) pieczywo cukiernicze i półcukiernicze;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5) produkty mączne smażone w dużej ilości tłuszczu, np.: pączki, faworki, racuchy;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6) kasze gruboziarniste, np.: gryczana, pęczak;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7) płatki kukurydziane i inne słodzone płatki śniadaniowe, np.: cynamonowe, czekoladowe, miodowe;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8) makarony grube i pełnoziarniste;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9) ryż brązowy, ryż czerwony;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10) otręby, np.: owsiane, pszenne, żytnie, orkiszowe. </w:t>
            </w:r>
          </w:p>
          <w:p>
            <w:pPr>
              <w:pStyle w:val="Defau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Warzywa i przetwory warzywne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1)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warzywa świeże w postaci surówek drobno startych z delikatnych dobrze tolerowanych przez pacjentów warzyw;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2) warzywa mrożone, gotowane, duszone z niewielkim dodatkiem tłuszczu, pieczone (z wykluczeniem warzyw przeciwwskazanych);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3) gotowany kalafior, brokuł – bez łodygi (w ograniczonych ilościach);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4) szczególnie zalecane przykłady warzyw to: marchew, buraki, dynia, szpinak, cukinia, kabaczek, młoda fasolka szparagowa, sałata;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5) pomidor (w przypadku złej tolerancji – pomidor bez skóry);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Defau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1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) warzywa kapustne: kapusta, brukselka, rzodkiewka, rzepa;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2) warzywa cebulowe podawane na surowo oraz smażone: cebula, por, czosnek, szczypior;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3) surowe ogórki, papryka, kukurydza;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4) warzywa przetworzone tj. warzywa konserwowe, warzywa smażone lub przyrządzane z dużą ilością tłuszczu;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5) kiszona kapusta;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6) grzyby;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7) surówki z dodatkiem śmietany.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Defau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Ziemniaki, Bataty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Ziemniaki, bataty,: gotowane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1)ziemniaki, bataty, smażone (frytki , talarki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2)puree w proszku</w:t>
            </w:r>
          </w:p>
        </w:tc>
      </w:tr>
      <w:tr>
        <w:trPr/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Owoce  i przetwory owocowe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1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) dojrzałe lub rozdrobnione (w zależności od tolerancji);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2) przeciery i musy owocowe z niską zawartością lub bez dodatku cukru;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3) dżemy owocowe niskosłodzone bezpestkowe (w ograniczonych ilościach);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4) owoce drobnopestkowe, np.: porzeczka, agrest, maliny, jagoda, truskawki (w przypadku złej tolerancji - pozbawione pestek,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single"/>
              </w:rPr>
            </w:r>
          </w:p>
          <w:p>
            <w:pPr>
              <w:pStyle w:val="Defau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1)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 xml:space="preserve">owoce niedojrzałe;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2) owoce ciężkostrawne (czereśnie, gruszki, śliwki);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3) owoce w syropach cukrowych;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4) owoce kandyzowane;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5) przetwory owocowe wysokosłodzone;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6) owoce suszone </w:t>
            </w:r>
          </w:p>
          <w:p>
            <w:pPr>
              <w:pStyle w:val="Default"/>
              <w:tabs>
                <w:tab w:val="clear" w:pos="720"/>
              </w:tabs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Default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Tekstpodstawowy21"/>
        <w:rPr>
          <w:rFonts w:cs="Times New Roman"/>
          <w:b/>
          <w:b/>
          <w:bCs/>
          <w:u w:val="none"/>
        </w:rPr>
      </w:pPr>
      <w:r>
        <w:rPr>
          <w:rFonts w:cs="Times New Roman"/>
          <w:b/>
          <w:bCs/>
          <w:u w:val="none"/>
        </w:rPr>
        <w:t>Bibliografia:</w:t>
      </w:r>
    </w:p>
    <w:p>
      <w:pPr>
        <w:pStyle w:val="Tekstpodstawowy21"/>
        <w:numPr>
          <w:ilvl w:val="0"/>
          <w:numId w:val="0"/>
        </w:numPr>
        <w:ind w:left="0" w:hanging="0"/>
        <w:rPr/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Ciborowska, H., Ciborowski, A. (2021). Dietetyka. Żywienie człowieka zdrowego i chorego. Warszawa: Wydawnictwo Lekarskie PZWL </w:t>
      </w:r>
    </w:p>
    <w:p>
      <w:pPr>
        <w:pStyle w:val="Tekstpodstawowy21"/>
        <w:numPr>
          <w:ilvl w:val="0"/>
          <w:numId w:val="0"/>
        </w:numPr>
        <w:ind w:left="0" w:hanging="0"/>
        <w:rPr/>
      </w:pPr>
      <w:r>
        <w:rPr>
          <w:rFonts w:cs="Times New Roman"/>
          <w:b w:val="false"/>
          <w:bCs w:val="false"/>
          <w:sz w:val="28"/>
          <w:szCs w:val="28"/>
          <w:u w:val="none"/>
        </w:rPr>
        <w:t xml:space="preserve">Grzymisławski, M., Moszak, M. (red.) (2022).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</w:rPr>
        <w:t>Żywienie człowieka zdrowego i chorego. Warszawa: Wydawnictwo Naukowe PWN</w:t>
      </w:r>
    </w:p>
    <w:p>
      <w:pPr>
        <w:pStyle w:val="Tekstpodstawowy21"/>
        <w:numPr>
          <w:ilvl w:val="0"/>
          <w:numId w:val="0"/>
        </w:numPr>
        <w:ind w:left="0" w:hanging="0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Włodarek D., Lange E. (red.) (2022). Współczesna dietetyka. Warszawa: Wydawnictwo lekarskie PZWL</w:t>
      </w:r>
    </w:p>
    <w:p>
      <w:pPr>
        <w:pStyle w:val="Tekstpodstawowy21"/>
        <w:rPr>
          <w:rFonts w:cs="Times New Roman"/>
          <w:b/>
          <w:b/>
          <w:bCs/>
          <w:sz w:val="24"/>
          <w:szCs w:val="24"/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</w:r>
    </w:p>
    <w:p>
      <w:pPr>
        <w:pStyle w:val="Tekstpodstawowy21"/>
        <w:rPr>
          <w:rFonts w:cs="Times New Roman"/>
          <w:b/>
          <w:b/>
          <w:bCs/>
          <w:sz w:val="24"/>
          <w:szCs w:val="24"/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  <w:t>ŹRÓDŁO:</w:t>
      </w:r>
    </w:p>
    <w:p>
      <w:pPr>
        <w:pStyle w:val="Tekstpodstawowy21"/>
        <w:numPr>
          <w:ilvl w:val="0"/>
          <w:numId w:val="0"/>
        </w:numPr>
        <w:ind w:left="0" w:hanging="0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Najnowsze wydanie -Rozporządzenie ministra zdrowia z dnia 12.12.2025r. </w:t>
      </w:r>
    </w:p>
    <w:p>
      <w:pPr>
        <w:pStyle w:val="Normal"/>
        <w:tabs>
          <w:tab w:val="clear" w:pos="720"/>
          <w:tab w:val="left" w:pos="5245" w:leader="none"/>
          <w:tab w:val="left" w:pos="8505" w:leader="none"/>
          <w:tab w:val="left" w:pos="8789" w:leader="none"/>
        </w:tabs>
        <w:spacing w:lineRule="auto" w:line="240" w:before="0" w:after="0"/>
        <w:jc w:val="right"/>
        <w:textAlignment w:val="baseline"/>
        <w:rPr>
          <w:rFonts w:ascii="Liberation Serif" w:hAnsi="Liberation Serif" w:eastAsia="NSimSun" w:cs="Mangal"/>
          <w:kern w:val="2"/>
          <w:sz w:val="24"/>
          <w:szCs w:val="24"/>
          <w:lang w:eastAsia="zh-CN" w:bidi="hi-IN"/>
        </w:rPr>
      </w:pPr>
      <w:bookmarkStart w:id="0" w:name="_Hlk158883332"/>
      <w:bookmarkStart w:id="1" w:name="_Hlk168394808"/>
      <w:r>
        <w:rPr>
          <w:rFonts w:eastAsia="NSimSun" w:cs="Mangal" w:ascii="Liberation Serif" w:hAnsi="Liberation Serif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</w:t>
      </w:r>
      <w:bookmarkEnd w:id="0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0" w:top="142" w:footer="0" w:bottom="142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3630" w:leader="none"/>
      </w:tabs>
      <w:spacing w:lineRule="auto" w:line="240" w:before="0" w:after="0"/>
      <w:jc w:val="center"/>
      <w:rPr>
        <w:sz w:val="16"/>
        <w:szCs w:val="16"/>
      </w:rPr>
    </w:pPr>
    <w:r>
      <w:rPr/>
      <w:drawing>
        <wp:inline distT="0" distB="0" distL="0" distR="0">
          <wp:extent cx="2024380" cy="666750"/>
          <wp:effectExtent l="0" t="0" r="0" b="0"/>
          <wp:docPr id="3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left" w:pos="3630" w:leader="none"/>
      </w:tabs>
      <w:spacing w:lineRule="auto" w:line="240" w:before="0" w:after="0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</w:rPr>
      <w:t>Mazowieckie Centrum Leczenia Chorób Płuc i Gruźlicy w Otwocku jest jednostką organizacyjną Samorządu Województwa Mazowieckiego</w:t>
    </w:r>
  </w:p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3630" w:leader="none"/>
      </w:tabs>
      <w:spacing w:lineRule="auto" w:line="240" w:before="0" w:after="0"/>
      <w:jc w:val="center"/>
      <w:rPr>
        <w:sz w:val="16"/>
        <w:szCs w:val="16"/>
      </w:rPr>
    </w:pPr>
    <w:r>
      <w:rPr/>
      <w:drawing>
        <wp:inline distT="0" distB="0" distL="0" distR="0">
          <wp:extent cx="2024380" cy="666750"/>
          <wp:effectExtent l="0" t="0" r="0" b="0"/>
          <wp:docPr id="4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left" w:pos="3630" w:leader="none"/>
      </w:tabs>
      <w:spacing w:lineRule="auto" w:line="240" w:before="0" w:after="0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</w:rPr>
      <w:t>Mazowieckie Centrum Leczenia Chorób Płuc i Gruźlicy w Otwocku jest jednostką organizacyjną Samorządu Województwa Mazowieckiego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anchor behindDoc="0" distT="0" distB="0" distL="114300" distR="114300" simplePos="0" locked="0" layoutInCell="0" allowOverlap="1" relativeHeight="13">
          <wp:simplePos x="0" y="0"/>
          <wp:positionH relativeFrom="column">
            <wp:posOffset>2286000</wp:posOffset>
          </wp:positionH>
          <wp:positionV relativeFrom="paragraph">
            <wp:posOffset>100330</wp:posOffset>
          </wp:positionV>
          <wp:extent cx="1133475" cy="695325"/>
          <wp:effectExtent l="0" t="0" r="0" b="0"/>
          <wp:wrapSquare wrapText="bothSides"/>
          <wp:docPr id="1" name="Obraz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  <w:br/>
    </w:r>
  </w:p>
  <w:p>
    <w:pPr>
      <w:pStyle w:val="Normal"/>
      <w:jc w:val="center"/>
      <w:rPr>
        <w:b/>
        <w:b/>
        <w:bCs/>
        <w:sz w:val="16"/>
        <w:szCs w:val="16"/>
      </w:rPr>
    </w:pPr>
    <w:r>
      <w:rPr>
        <w:b/>
        <w:bCs/>
        <w:sz w:val="16"/>
        <w:szCs w:val="16"/>
      </w:rPr>
    </w:r>
  </w:p>
  <w:p>
    <w:pPr>
      <w:pStyle w:val="Normal"/>
      <w:pBdr>
        <w:bottom w:val="single" w:sz="4" w:space="1" w:color="000000"/>
      </w:pBdr>
      <w:spacing w:lineRule="auto" w:line="240" w:before="0" w:after="0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b/>
        <w:bCs/>
        <w:sz w:val="20"/>
        <w:szCs w:val="20"/>
      </w:rPr>
      <w:t xml:space="preserve">Mazowieckie Centrum Leczenia Chorób Płuc i Gruźlicy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/>
        <w:bCs/>
        <w:sz w:val="20"/>
        <w:szCs w:val="20"/>
      </w:rPr>
    </w:pPr>
    <w:r>
      <w:rPr>
        <w:rFonts w:cs="Times New Roman" w:ascii="Times New Roman" w:hAnsi="Times New Roman"/>
        <w:b/>
        <w:bCs/>
        <w:sz w:val="20"/>
        <w:szCs w:val="20"/>
      </w:rPr>
      <w:t>ul. Narutowicza 80, 05-400 Otwock, tel. (22) 344 64 00, 344 64 71, centr. (22) 344 62 00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b/>
        <w:bCs/>
        <w:sz w:val="20"/>
        <w:szCs w:val="20"/>
      </w:rPr>
      <w:t>NIP: 532-16-64-002 REGON: 000676714 Konto: Bank PeKaO S.A. 66 1240 6074 1111 0000 4998 0149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20"/>
        <w:szCs w:val="20"/>
      </w:rPr>
    </w:pPr>
    <w:hyperlink r:id="rId2">
      <w:r>
        <w:rPr>
          <w:rStyle w:val="Czeinternetowe"/>
          <w:rFonts w:ascii="Times New Roman" w:hAnsi="Times New Roman"/>
          <w:b/>
          <w:bCs/>
          <w:color w:val="000000"/>
          <w:sz w:val="20"/>
          <w:szCs w:val="20"/>
          <w:u w:val="none"/>
        </w:rPr>
        <w:t>http://www.otwock-szpital.pl</w:t>
      </w:r>
    </w:hyperlink>
    <w:r>
      <w:rPr>
        <w:rStyle w:val="Czeinternetowe"/>
        <w:rFonts w:cs="Times New Roman" w:ascii="Times New Roman" w:hAnsi="Times New Roman"/>
        <w:b/>
        <w:bCs/>
        <w:color w:val="000000"/>
        <w:sz w:val="20"/>
        <w:szCs w:val="20"/>
        <w:u w:val="none"/>
      </w:rPr>
      <w:t xml:space="preserve">  </w:t>
    </w:r>
    <w:r>
      <w:rPr>
        <w:rStyle w:val="Czeinternetowe"/>
        <w:rFonts w:cs="Times New Roman" w:ascii="Times New Roman" w:hAnsi="Times New Roman"/>
        <w:b/>
        <w:bCs/>
        <w:color w:val="auto"/>
        <w:sz w:val="20"/>
        <w:szCs w:val="20"/>
        <w:u w:val="none"/>
      </w:rPr>
      <w:t xml:space="preserve">  </w:t>
    </w:r>
    <w:r>
      <w:rPr>
        <w:rFonts w:cs="Times New Roman" w:ascii="Times New Roman" w:hAnsi="Times New Roman"/>
        <w:b/>
        <w:bCs/>
        <w:sz w:val="20"/>
        <w:szCs w:val="20"/>
      </w:rPr>
      <w:t xml:space="preserve"> e-mail:sekretariat.otw@otwock-szpital.pl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anchor behindDoc="0" distT="0" distB="0" distL="114300" distR="114300" simplePos="0" locked="0" layoutInCell="0" allowOverlap="1" relativeHeight="13">
          <wp:simplePos x="0" y="0"/>
          <wp:positionH relativeFrom="column">
            <wp:posOffset>2286000</wp:posOffset>
          </wp:positionH>
          <wp:positionV relativeFrom="paragraph">
            <wp:posOffset>100330</wp:posOffset>
          </wp:positionV>
          <wp:extent cx="1133475" cy="695325"/>
          <wp:effectExtent l="0" t="0" r="0" b="0"/>
          <wp:wrapSquare wrapText="bothSides"/>
          <wp:docPr id="2" name="Obraz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  <w:br/>
    </w:r>
  </w:p>
  <w:p>
    <w:pPr>
      <w:pStyle w:val="Normal"/>
      <w:jc w:val="center"/>
      <w:rPr>
        <w:b/>
        <w:b/>
        <w:bCs/>
        <w:sz w:val="16"/>
        <w:szCs w:val="16"/>
      </w:rPr>
    </w:pPr>
    <w:r>
      <w:rPr>
        <w:b/>
        <w:bCs/>
        <w:sz w:val="16"/>
        <w:szCs w:val="16"/>
      </w:rPr>
    </w:r>
  </w:p>
  <w:p>
    <w:pPr>
      <w:pStyle w:val="Normal"/>
      <w:pBdr>
        <w:bottom w:val="single" w:sz="4" w:space="1" w:color="000000"/>
      </w:pBdr>
      <w:spacing w:lineRule="auto" w:line="240" w:before="0" w:after="0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b/>
        <w:bCs/>
        <w:sz w:val="20"/>
        <w:szCs w:val="20"/>
      </w:rPr>
      <w:t xml:space="preserve">Mazowieckie Centrum Leczenia Chorób Płuc i Gruźlicy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/>
        <w:bCs/>
        <w:sz w:val="20"/>
        <w:szCs w:val="20"/>
      </w:rPr>
    </w:pPr>
    <w:r>
      <w:rPr>
        <w:rFonts w:cs="Times New Roman" w:ascii="Times New Roman" w:hAnsi="Times New Roman"/>
        <w:b/>
        <w:bCs/>
        <w:sz w:val="20"/>
        <w:szCs w:val="20"/>
      </w:rPr>
      <w:t>ul. Narutowicza 80, 05-400 Otwock, tel. (22) 344 64 00, 344 64 71, centr. (22) 344 62 00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b/>
        <w:bCs/>
        <w:sz w:val="20"/>
        <w:szCs w:val="20"/>
      </w:rPr>
      <w:t>NIP: 532-16-64-002 REGON: 000676714 Konto: Bank PeKaO S.A. 66 1240 6074 1111 0000 4998 0149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20"/>
        <w:szCs w:val="20"/>
      </w:rPr>
    </w:pPr>
    <w:hyperlink r:id="rId2">
      <w:r>
        <w:rPr>
          <w:rStyle w:val="Czeinternetowe"/>
          <w:rFonts w:ascii="Times New Roman" w:hAnsi="Times New Roman"/>
          <w:b/>
          <w:bCs/>
          <w:color w:val="000000"/>
          <w:sz w:val="20"/>
          <w:szCs w:val="20"/>
          <w:u w:val="none"/>
        </w:rPr>
        <w:t>http://www.otwock-szpital.pl</w:t>
      </w:r>
    </w:hyperlink>
    <w:r>
      <w:rPr>
        <w:rStyle w:val="Czeinternetowe"/>
        <w:rFonts w:cs="Times New Roman" w:ascii="Times New Roman" w:hAnsi="Times New Roman"/>
        <w:b/>
        <w:bCs/>
        <w:color w:val="000000"/>
        <w:sz w:val="20"/>
        <w:szCs w:val="20"/>
        <w:u w:val="none"/>
      </w:rPr>
      <w:t xml:space="preserve">  </w:t>
    </w:r>
    <w:r>
      <w:rPr>
        <w:rStyle w:val="Czeinternetowe"/>
        <w:rFonts w:cs="Times New Roman" w:ascii="Times New Roman" w:hAnsi="Times New Roman"/>
        <w:b/>
        <w:bCs/>
        <w:color w:val="auto"/>
        <w:sz w:val="20"/>
        <w:szCs w:val="20"/>
        <w:u w:val="none"/>
      </w:rPr>
      <w:t xml:space="preserve">  </w:t>
    </w:r>
    <w:r>
      <w:rPr>
        <w:rFonts w:cs="Times New Roman" w:ascii="Times New Roman" w:hAnsi="Times New Roman"/>
        <w:b/>
        <w:bCs/>
        <w:sz w:val="20"/>
        <w:szCs w:val="20"/>
      </w:rPr>
      <w:t xml:space="preserve"> e-mail:sekretariat.otw@otwock-szpital.pl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taiwaneseCountingThousand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d319e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d319e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6">
    <w:name w:val="Heading 6"/>
    <w:basedOn w:val="Normal"/>
    <w:next w:val="Normal"/>
    <w:qFormat/>
    <w:pPr>
      <w:keepNext w:val="true"/>
      <w:numPr>
        <w:ilvl w:val="5"/>
        <w:numId w:val="1"/>
      </w:numPr>
      <w:ind w:left="2124" w:hanging="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Hyperlink"/>
    <w:basedOn w:val="DefaultParagraphFont"/>
    <w:uiPriority w:val="99"/>
    <w:unhideWhenUsed/>
    <w:rsid w:val="005d0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d0588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4e6d03"/>
    <w:rPr/>
  </w:style>
  <w:style w:type="character" w:styleId="StopkaZnak" w:customStyle="1">
    <w:name w:val="Stopka Znak"/>
    <w:basedOn w:val="DefaultParagraphFont"/>
    <w:uiPriority w:val="99"/>
    <w:qFormat/>
    <w:rsid w:val="004e6d03"/>
    <w:rPr/>
  </w:style>
  <w:style w:type="character" w:styleId="Znakinumeracji" w:customStyle="1">
    <w:name w:val="Znaki numeracji"/>
    <w:qFormat/>
    <w:rPr>
      <w:rFonts w:ascii="Times New Roman" w:hAnsi="Times New Roman"/>
      <w:b/>
      <w:bCs/>
    </w:rPr>
  </w:style>
  <w:style w:type="character" w:styleId="Nagwek1Znak" w:customStyle="1">
    <w:name w:val="Nagłówek 1 Znak"/>
    <w:basedOn w:val="DefaultParagraphFont"/>
    <w:uiPriority w:val="9"/>
    <w:qFormat/>
    <w:rsid w:val="00d319e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uiPriority w:val="9"/>
    <w:semiHidden/>
    <w:qFormat/>
    <w:rsid w:val="00d319e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Pogrubienie1" w:customStyle="1">
    <w:name w:val="Pogrubienie1"/>
    <w:qFormat/>
    <w:rPr>
      <w:b/>
    </w:rPr>
  </w:style>
  <w:style w:type="character" w:styleId="WW8Num3z0" w:customStyle="1">
    <w:name w:val="WW8Num3z0"/>
    <w:qFormat/>
    <w:rPr>
      <w:b w:val="false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4e6d0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4e6d0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owy1" w:customStyle="1">
    <w:name w:val="Standardowy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Akapitzlist1" w:customStyle="1">
    <w:name w:val="Akapit z listą1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Calibri" w:hAnsi="Calibri" w:eastAsia="Arial Unicode MS" w:cs="Arial Unicode MS"/>
      <w:color w:val="000000"/>
      <w:kern w:val="0"/>
      <w:sz w:val="24"/>
      <w:szCs w:val="24"/>
      <w:u w:val="none" w:color="000000"/>
      <w:lang w:val="cs-CZ" w:eastAsia="en-US" w:bidi="ar-SA"/>
    </w:rPr>
  </w:style>
  <w:style w:type="paragraph" w:styleId="ListParagraph">
    <w:name w:val="List Paragraph"/>
    <w:basedOn w:val="Normal"/>
    <w:uiPriority w:val="34"/>
    <w:qFormat/>
    <w:rsid w:val="002f268c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93e55"/>
    <w:pPr/>
    <w:rPr>
      <w:rFonts w:ascii="Times New Roman" w:hAnsi="Times New Roman" w:cs="Times New Roman"/>
      <w:sz w:val="24"/>
      <w:szCs w:val="24"/>
    </w:rPr>
  </w:style>
  <w:style w:type="paragraph" w:styleId="Standardowy2" w:customStyle="1">
    <w:name w:val="Standardowy2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Western" w:customStyle="1">
    <w:name w:val="western"/>
    <w:basedOn w:val="Normal"/>
    <w:qFormat/>
    <w:rsid w:val="00342fba"/>
    <w:pPr>
      <w:suppressAutoHyphens w:val="false"/>
      <w:spacing w:lineRule="auto" w:line="276" w:beforeAutospacing="1" w:after="142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Standard" w:customStyle="1">
    <w:name w:val="Standard"/>
    <w:qFormat/>
    <w:rsid w:val="009922d9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n-US" w:eastAsia="zh-CN" w:bidi="ar-SA"/>
    </w:rPr>
  </w:style>
  <w:style w:type="paragraph" w:styleId="Textbody" w:customStyle="1">
    <w:name w:val="Text body"/>
    <w:basedOn w:val="Standard"/>
    <w:qFormat/>
    <w:rsid w:val="009922d9"/>
    <w:pPr>
      <w:spacing w:lineRule="auto" w:line="288" w:before="0" w:after="140"/>
    </w:pPr>
    <w:rPr/>
  </w:style>
  <w:style w:type="paragraph" w:styleId="NoSpacing">
    <w:name w:val="No Spacing"/>
    <w:uiPriority w:val="1"/>
    <w:qFormat/>
    <w:rsid w:val="00a0434b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2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000000"/>
      <w:kern w:val="0"/>
      <w:sz w:val="24"/>
      <w:szCs w:val="22"/>
      <w:lang w:val="pl-PL" w:eastAsia="en-US" w:bidi="ar-SA"/>
    </w:rPr>
  </w:style>
  <w:style w:type="paragraph" w:styleId="Tekstpodstawowy21">
    <w:name w:val="Tekst podstawowy 21"/>
    <w:basedOn w:val="Normal"/>
    <w:qFormat/>
    <w:pPr/>
    <w:rPr>
      <w:b/>
      <w:sz w:val="28"/>
      <w:u w:val="single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otwock-szpital.pl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otwock-szpital.pl/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DF808-2A49-4A60-AAC8-D73A374F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LibreOffice/7.4.1.2$Windows_X86_64 LibreOffice_project/3c58a8f3a960df8bc8fd77b461821e42c061c5f0</Application>
  <AppVersion>15.0000</AppVersion>
  <Pages>6</Pages>
  <Words>1289</Words>
  <Characters>8277</Characters>
  <CharactersWithSpaces>9672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2024-10-04T10:50:00Z</dcterms:created>
  <dc:creator>Sekretariat</dc:creator>
  <dc:description/>
  <dc:language>pl-PL</dc:language>
  <cp:lastModifiedBy/>
  <cp:lastPrinted>2024-10-16T10:58:00Z</cp:lastPrinted>
  <dcterms:modified xsi:type="dcterms:W3CDTF">2026-02-23T12:30:56Z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