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0F1" w14:textId="77777777" w:rsidR="009F1146" w:rsidRDefault="009F1146" w:rsidP="009F1146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5DD7EC78" w14:textId="572307CD" w:rsidR="009F1146" w:rsidRPr="00D80C0B" w:rsidRDefault="009F1146" w:rsidP="009F1146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D80C0B">
        <w:rPr>
          <w:rFonts w:cstheme="minorHAnsi"/>
          <w:b/>
          <w:bCs/>
          <w:sz w:val="28"/>
          <w:szCs w:val="28"/>
        </w:rPr>
        <w:t>Opis</w:t>
      </w:r>
      <w:proofErr w:type="spellEnd"/>
      <w:r w:rsidRPr="00D80C0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D80C0B">
        <w:rPr>
          <w:rFonts w:cstheme="minorHAnsi"/>
          <w:b/>
          <w:bCs/>
          <w:sz w:val="28"/>
          <w:szCs w:val="28"/>
        </w:rPr>
        <w:t>przedmiotu</w:t>
      </w:r>
      <w:proofErr w:type="spellEnd"/>
      <w:r w:rsidRPr="00D80C0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D80C0B">
        <w:rPr>
          <w:rFonts w:cstheme="minorHAnsi"/>
          <w:b/>
          <w:bCs/>
          <w:sz w:val="28"/>
          <w:szCs w:val="28"/>
        </w:rPr>
        <w:t>zamówienia</w:t>
      </w:r>
      <w:proofErr w:type="spellEnd"/>
      <w:r w:rsidRPr="00D80C0B">
        <w:rPr>
          <w:rFonts w:cstheme="minorHAnsi"/>
          <w:b/>
          <w:bCs/>
          <w:sz w:val="28"/>
          <w:szCs w:val="28"/>
        </w:rPr>
        <w:t xml:space="preserve"> </w:t>
      </w:r>
    </w:p>
    <w:p w14:paraId="24CCBF69" w14:textId="77777777" w:rsidR="009F1146" w:rsidRDefault="009F1146" w:rsidP="009F1146">
      <w:pPr>
        <w:pStyle w:val="Standard"/>
        <w:spacing w:line="276" w:lineRule="auto"/>
      </w:pPr>
    </w:p>
    <w:p w14:paraId="0ABA067B" w14:textId="21A72896" w:rsidR="009F1146" w:rsidRPr="009F1146" w:rsidRDefault="009F1146" w:rsidP="009F1146">
      <w:pPr>
        <w:pStyle w:val="Standard"/>
        <w:spacing w:line="276" w:lineRule="auto"/>
      </w:pPr>
      <w:r>
        <w:t>„</w:t>
      </w:r>
      <w:r w:rsidRPr="00E27DC0">
        <w:rPr>
          <w:b/>
          <w:bCs/>
        </w:rPr>
        <w:t>Zakup systemów teleinformatycznych, jakościowych i innych wspierających zarządzanie Badaniami klinicznymi</w:t>
      </w:r>
      <w:r>
        <w:rPr>
          <w:b/>
          <w:bCs/>
        </w:rPr>
        <w:t xml:space="preserve"> w tym:</w:t>
      </w:r>
      <w:r w:rsidRPr="008217F0">
        <w:t xml:space="preserve"> </w:t>
      </w:r>
      <w:r w:rsidRPr="008217F0">
        <w:rPr>
          <w:b/>
          <w:bCs/>
        </w:rPr>
        <w:t xml:space="preserve">System do zarządzania </w:t>
      </w:r>
      <w:proofErr w:type="spellStart"/>
      <w:r w:rsidRPr="008217F0">
        <w:rPr>
          <w:b/>
          <w:bCs/>
        </w:rPr>
        <w:t>badanimi</w:t>
      </w:r>
      <w:proofErr w:type="spellEnd"/>
      <w:r w:rsidRPr="008217F0">
        <w:rPr>
          <w:b/>
          <w:bCs/>
        </w:rPr>
        <w:t xml:space="preserve"> klinicznymi</w:t>
      </w:r>
      <w:r>
        <w:rPr>
          <w:b/>
          <w:bCs/>
        </w:rPr>
        <w:t xml:space="preserve"> oraz </w:t>
      </w:r>
      <w:r w:rsidRPr="008217F0">
        <w:rPr>
          <w:b/>
          <w:bCs/>
        </w:rPr>
        <w:t xml:space="preserve">System do realizacji studium wykonalności (ang. </w:t>
      </w:r>
      <w:proofErr w:type="spellStart"/>
      <w:r w:rsidRPr="008217F0">
        <w:rPr>
          <w:b/>
          <w:bCs/>
        </w:rPr>
        <w:t>feasibility</w:t>
      </w:r>
      <w:proofErr w:type="spellEnd"/>
      <w:r w:rsidRPr="008217F0">
        <w:rPr>
          <w:b/>
          <w:bCs/>
        </w:rPr>
        <w:t>)</w:t>
      </w:r>
      <w:r>
        <w:rPr>
          <w:b/>
          <w:bCs/>
        </w:rPr>
        <w:t xml:space="preserve">” </w:t>
      </w:r>
      <w:r w:rsidRPr="00636372">
        <w:rPr>
          <w:b/>
          <w:bCs/>
        </w:rPr>
        <w:t>w ramach projektu  „Centrum Wsparcia Badań Klinicznych dla Mazowsza Zachodniego”.</w:t>
      </w:r>
    </w:p>
    <w:p w14:paraId="55A779DC" w14:textId="6D1CF398" w:rsidR="00D16F77" w:rsidRPr="00E17715" w:rsidRDefault="00D16F77" w:rsidP="10D47FC7">
      <w:pPr>
        <w:pStyle w:val="P68B1DB1-Heading16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</w:pPr>
      <w:r w:rsidRPr="10D47FC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  <w:t>Warunki ogólne:</w:t>
      </w:r>
    </w:p>
    <w:p w14:paraId="14FAD8F9" w14:textId="77777777" w:rsidR="00D16F77" w:rsidRPr="00E17715" w:rsidRDefault="00D16F77" w:rsidP="10D47FC7">
      <w:pPr>
        <w:pStyle w:val="P68B1DB1-Heading16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</w:pPr>
      <w:r>
        <w:br/>
      </w:r>
      <w:r w:rsidRPr="10D47FC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  <w:t>1. Referencje – 3 referencje, każda na minimum 600 000 PLN – projekty zrealizowane w ostatnich 3 latach – wdrożenia systemów wspierających badania kliniczne z integracją z systemami dziedzinowymi i wymianą informacji z systemów źródłowych.</w:t>
      </w:r>
    </w:p>
    <w:p w14:paraId="76627915" w14:textId="77777777" w:rsidR="00D16F77" w:rsidRPr="00E17715" w:rsidRDefault="00D16F77" w:rsidP="10D47FC7">
      <w:pPr>
        <w:pStyle w:val="P68B1DB1-Heading16"/>
        <w:rPr>
          <w:rFonts w:asciiTheme="minorHAnsi" w:eastAsiaTheme="minorEastAsia" w:hAnsiTheme="minorHAnsi" w:cstheme="minorBidi"/>
          <w:color w:val="auto"/>
          <w:sz w:val="24"/>
          <w:szCs w:val="24"/>
          <w:lang w:val="pl-PL"/>
        </w:rPr>
      </w:pPr>
      <w:r w:rsidRPr="10D47FC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  <w:t>2. Gwarancja i serwis – minimum 18 miesięcy</w:t>
      </w:r>
    </w:p>
    <w:p w14:paraId="3ACC1669" w14:textId="77777777" w:rsidR="00D16F77" w:rsidRPr="00E17715" w:rsidRDefault="00D16F77" w:rsidP="10D47FC7">
      <w:pPr>
        <w:pStyle w:val="P68B1DB1-Heading16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</w:pPr>
      <w:r w:rsidRPr="10D47FC7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  <w:t>3. Liczba użytkowników i licencje – 15 licencji, rodzaj licencji – opis w pkt. 101.; licencja bezterminowa, wieczysta.</w:t>
      </w:r>
    </w:p>
    <w:p w14:paraId="428496AE" w14:textId="77777777" w:rsidR="00D16F77" w:rsidRPr="00E17715" w:rsidRDefault="00D16F77" w:rsidP="10D47FC7">
      <w:pPr>
        <w:spacing w:before="200" w:after="140"/>
        <w:jc w:val="both"/>
        <w:rPr>
          <w:b/>
          <w:bCs/>
          <w:caps/>
          <w:color w:val="2F5496"/>
          <w:lang w:val="pl-PL"/>
        </w:rPr>
      </w:pPr>
      <w:r w:rsidRPr="10D47FC7">
        <w:rPr>
          <w:b/>
          <w:bCs/>
          <w:caps/>
          <w:color w:val="2F5496"/>
          <w:lang w:val="pl-PL"/>
        </w:rPr>
        <w:t>Wymagane Funkcjonalności</w:t>
      </w:r>
    </w:p>
    <w:p w14:paraId="7395778F" w14:textId="77777777" w:rsidR="00D16F77" w:rsidRPr="00E17715" w:rsidRDefault="00D16F77" w:rsidP="10D47FC7">
      <w:pPr>
        <w:spacing w:after="0" w:line="360" w:lineRule="auto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System musi spełniać wymogi opisane w Załączniku 1 do regulaminu konkursu Agencji Badań Medycznych na tworzenie i rozwój Centrów Wsparcia Badań Klinicznych nr 2024/ABM/4/KPO W ramach krajowego planu odbudowy i zwiększania odporności (KPO) w zakresie inwestycji D3.1.1. Kompleksowy rozwój badań w zakresie nauk medycznych i nauk o zdrowiu tj. Standardzie Modelowego Centrum Wsparcia Badań Klinicznych, wersja 3.0; w szczególności musi zawierać następujące funkcjonalności:</w:t>
      </w:r>
    </w:p>
    <w:p w14:paraId="0470BD8C" w14:textId="53122845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lastRenderedPageBreak/>
        <w:t>Funkcjonalność administracyjna,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i/>
          <w:iCs/>
          <w:lang w:val="pl-PL"/>
        </w:rPr>
        <w:t>Administracja i kontrola dostępu</w:t>
      </w:r>
      <w:r w:rsidR="00C73E16" w:rsidRPr="10D47FC7">
        <w:rPr>
          <w:b/>
          <w:bCs/>
          <w:lang w:val="pl-PL"/>
        </w:rPr>
        <w:t xml:space="preserve">; </w:t>
      </w:r>
      <w:r w:rsidR="00C73E16" w:rsidRPr="10D47FC7">
        <w:rPr>
          <w:b/>
          <w:bCs/>
          <w:i/>
          <w:iCs/>
          <w:lang w:val="pl-PL"/>
        </w:rPr>
        <w:t>Zarządzanie użytkownikami</w:t>
      </w:r>
      <w:r w:rsidR="00C73E16" w:rsidRPr="10D47FC7">
        <w:rPr>
          <w:b/>
          <w:bCs/>
          <w:lang w:val="pl-PL"/>
        </w:rPr>
        <w:t xml:space="preserve">; </w:t>
      </w:r>
      <w:r w:rsidR="00C73E16" w:rsidRPr="10D47FC7">
        <w:rPr>
          <w:b/>
          <w:bCs/>
          <w:i/>
          <w:iCs/>
          <w:lang w:val="pl-PL"/>
        </w:rPr>
        <w:t>Model licencyjny</w:t>
      </w:r>
      <w:r w:rsidR="00C73E16" w:rsidRPr="10D47FC7">
        <w:rPr>
          <w:b/>
          <w:bCs/>
          <w:lang w:val="pl-PL"/>
        </w:rPr>
        <w:t xml:space="preserve"> </w:t>
      </w:r>
      <w:r w:rsidR="005900C9" w:rsidRPr="10D47FC7">
        <w:rPr>
          <w:b/>
          <w:bCs/>
          <w:lang w:val="pl-PL"/>
        </w:rPr>
        <w:t>(XV. pkt 1</w:t>
      </w:r>
      <w:r w:rsidR="00C73E16" w:rsidRPr="10D47FC7">
        <w:rPr>
          <w:b/>
          <w:bCs/>
          <w:lang w:val="pl-PL"/>
        </w:rPr>
        <w:t>)</w:t>
      </w:r>
    </w:p>
    <w:p w14:paraId="64575658" w14:textId="7A9FCD95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feasibility,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i/>
          <w:iCs/>
          <w:lang w:val="pl-PL"/>
        </w:rPr>
        <w:t>Moduł Feasibility</w:t>
      </w:r>
      <w:r w:rsidR="00C73E16" w:rsidRPr="10D47FC7">
        <w:rPr>
          <w:b/>
          <w:bCs/>
          <w:lang w:val="pl-PL"/>
        </w:rPr>
        <w:t xml:space="preserve"> (</w:t>
      </w:r>
      <w:r w:rsidR="005900C9" w:rsidRPr="10D47FC7">
        <w:rPr>
          <w:b/>
          <w:bCs/>
          <w:lang w:val="pl-PL"/>
        </w:rPr>
        <w:t xml:space="preserve">XII. </w:t>
      </w:r>
      <w:r w:rsidR="00F705A5" w:rsidRPr="10D47FC7">
        <w:rPr>
          <w:b/>
          <w:bCs/>
          <w:lang w:val="pl-PL"/>
        </w:rPr>
        <w:t>p</w:t>
      </w:r>
      <w:r w:rsidR="005900C9" w:rsidRPr="10D47FC7">
        <w:rPr>
          <w:b/>
          <w:bCs/>
          <w:lang w:val="pl-PL"/>
        </w:rPr>
        <w:t>kt 1)</w:t>
      </w:r>
    </w:p>
    <w:p w14:paraId="10D38023" w14:textId="68D55300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kontraktów,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color w:val="000000" w:themeColor="text1"/>
          <w:lang w:val="pl-PL"/>
        </w:rPr>
        <w:t>Rejestr</w:t>
      </w:r>
      <w:r w:rsidR="00C73E16" w:rsidRPr="10D47FC7">
        <w:rPr>
          <w:b/>
          <w:bCs/>
          <w:i/>
          <w:iCs/>
          <w:lang w:val="pl-PL"/>
        </w:rPr>
        <w:t xml:space="preserve"> badań/umów/aneksów</w:t>
      </w:r>
      <w:r w:rsidR="00C73E16" w:rsidRPr="10D47FC7">
        <w:rPr>
          <w:b/>
          <w:bCs/>
          <w:lang w:val="pl-PL"/>
        </w:rPr>
        <w:t xml:space="preserve"> (</w:t>
      </w:r>
      <w:r w:rsidR="00402C42" w:rsidRPr="10D47FC7">
        <w:rPr>
          <w:b/>
          <w:bCs/>
          <w:lang w:val="pl-PL"/>
        </w:rPr>
        <w:t xml:space="preserve">I. </w:t>
      </w:r>
      <w:r w:rsidR="00C73E16" w:rsidRPr="10D47FC7">
        <w:rPr>
          <w:b/>
          <w:bCs/>
          <w:lang w:val="pl-PL"/>
        </w:rPr>
        <w:t>pkt 4).</w:t>
      </w:r>
    </w:p>
    <w:p w14:paraId="583EC297" w14:textId="1B34EB58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finansowa,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i/>
          <w:iCs/>
          <w:lang w:val="pl-PL"/>
        </w:rPr>
        <w:t>Zarządzanie finansami i budżetowaniem</w:t>
      </w:r>
      <w:r w:rsidR="008E3F8A" w:rsidRPr="10D47FC7">
        <w:rPr>
          <w:b/>
          <w:bCs/>
          <w:i/>
          <w:iCs/>
          <w:lang w:val="pl-PL"/>
        </w:rPr>
        <w:t xml:space="preserve"> </w:t>
      </w:r>
      <w:r w:rsidR="001251BF" w:rsidRPr="10D47FC7">
        <w:rPr>
          <w:b/>
          <w:bCs/>
          <w:i/>
          <w:iCs/>
          <w:lang w:val="pl-PL"/>
        </w:rPr>
        <w:t xml:space="preserve">(II. </w:t>
      </w:r>
      <w:r w:rsidR="00110611" w:rsidRPr="10D47FC7">
        <w:rPr>
          <w:b/>
          <w:bCs/>
          <w:i/>
          <w:iCs/>
          <w:lang w:val="pl-PL"/>
        </w:rPr>
        <w:t>p</w:t>
      </w:r>
      <w:r w:rsidR="001251BF" w:rsidRPr="10D47FC7">
        <w:rPr>
          <w:b/>
          <w:bCs/>
          <w:i/>
          <w:iCs/>
          <w:lang w:val="pl-PL"/>
        </w:rPr>
        <w:t>kt 1-11)</w:t>
      </w:r>
    </w:p>
    <w:p w14:paraId="233FD577" w14:textId="21E33771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 xml:space="preserve">Funkcjonalności związane z cennikami, </w:t>
      </w:r>
      <w:r w:rsidR="00C73E16" w:rsidRPr="10D47FC7">
        <w:rPr>
          <w:color w:val="000000" w:themeColor="text1"/>
          <w:lang w:val="pl-PL"/>
        </w:rPr>
        <w:t xml:space="preserve">opisane </w:t>
      </w:r>
      <w:r w:rsidR="004D1D7E" w:rsidRPr="10D47FC7">
        <w:rPr>
          <w:b/>
          <w:bCs/>
          <w:i/>
          <w:iCs/>
          <w:lang w:val="pl-PL"/>
        </w:rPr>
        <w:t>Zarządzanie finansami i budżetowaniem (II. Pkt 10-11)</w:t>
      </w:r>
    </w:p>
    <w:p w14:paraId="08E4DB9E" w14:textId="0D76CA45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zarządzania badaniami,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color w:val="000000" w:themeColor="text1"/>
          <w:lang w:val="pl-PL"/>
        </w:rPr>
        <w:t>R</w:t>
      </w:r>
      <w:r w:rsidR="00C73E16" w:rsidRPr="10D47FC7">
        <w:rPr>
          <w:b/>
          <w:bCs/>
          <w:i/>
          <w:iCs/>
          <w:lang w:val="pl-PL"/>
        </w:rPr>
        <w:t>ejestracja/projektowanie</w:t>
      </w:r>
      <w:r w:rsidR="00C73E16" w:rsidRPr="10D47FC7">
        <w:rPr>
          <w:b/>
          <w:bCs/>
          <w:lang w:val="pl-PL"/>
        </w:rPr>
        <w:t xml:space="preserve">, </w:t>
      </w:r>
      <w:r w:rsidR="00C73E16" w:rsidRPr="10D47FC7">
        <w:rPr>
          <w:b/>
          <w:bCs/>
          <w:i/>
          <w:iCs/>
          <w:lang w:val="pl-PL"/>
        </w:rPr>
        <w:t>Zdarzenia i zadania</w:t>
      </w:r>
      <w:r w:rsidR="00C73E16" w:rsidRPr="10D47FC7">
        <w:rPr>
          <w:b/>
          <w:bCs/>
          <w:lang w:val="pl-PL"/>
        </w:rPr>
        <w:t xml:space="preserve">, </w:t>
      </w:r>
      <w:r w:rsidR="00C73E16" w:rsidRPr="10D47FC7">
        <w:rPr>
          <w:b/>
          <w:bCs/>
          <w:i/>
          <w:iCs/>
          <w:lang w:val="pl-PL"/>
        </w:rPr>
        <w:t>Alerty</w:t>
      </w:r>
      <w:r w:rsidR="00B610A1" w:rsidRPr="10D47FC7">
        <w:rPr>
          <w:b/>
          <w:bCs/>
          <w:lang w:val="pl-PL"/>
        </w:rPr>
        <w:t xml:space="preserve"> (</w:t>
      </w:r>
      <w:r w:rsidR="00110611" w:rsidRPr="10D47FC7">
        <w:rPr>
          <w:b/>
          <w:bCs/>
          <w:lang w:val="pl-PL"/>
        </w:rPr>
        <w:t>I. pkt 1-4)</w:t>
      </w:r>
    </w:p>
    <w:p w14:paraId="4044633B" w14:textId="4737F1DF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archiwizacji,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i/>
          <w:iCs/>
          <w:lang w:val="pl-PL"/>
        </w:rPr>
        <w:t>Zarządzanie dokumentami</w:t>
      </w:r>
      <w:r w:rsidR="00C73E16" w:rsidRPr="10D47FC7">
        <w:rPr>
          <w:b/>
          <w:bCs/>
          <w:lang w:val="pl-PL"/>
        </w:rPr>
        <w:t xml:space="preserve"> (</w:t>
      </w:r>
      <w:r w:rsidR="008229BD" w:rsidRPr="10D47FC7">
        <w:rPr>
          <w:b/>
          <w:bCs/>
          <w:lang w:val="pl-PL"/>
        </w:rPr>
        <w:t xml:space="preserve">VI. </w:t>
      </w:r>
      <w:r w:rsidR="00C73E16" w:rsidRPr="10D47FC7">
        <w:rPr>
          <w:b/>
          <w:bCs/>
          <w:lang w:val="pl-PL"/>
        </w:rPr>
        <w:t>pkt 1</w:t>
      </w:r>
      <w:r w:rsidR="006D196B" w:rsidRPr="10D47FC7">
        <w:rPr>
          <w:b/>
          <w:bCs/>
          <w:lang w:val="pl-PL"/>
        </w:rPr>
        <w:t>-</w:t>
      </w:r>
      <w:r w:rsidR="00C73E16" w:rsidRPr="10D47FC7">
        <w:rPr>
          <w:b/>
          <w:bCs/>
          <w:lang w:val="pl-PL"/>
        </w:rPr>
        <w:t>8).</w:t>
      </w:r>
    </w:p>
    <w:p w14:paraId="013759CE" w14:textId="443BDC51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monitorowania,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i/>
          <w:iCs/>
          <w:lang w:val="pl-PL"/>
        </w:rPr>
        <w:t>KPI/pulpity</w:t>
      </w:r>
      <w:r w:rsidR="00C73E16" w:rsidRPr="10D47FC7">
        <w:rPr>
          <w:b/>
          <w:bCs/>
          <w:lang w:val="pl-PL"/>
        </w:rPr>
        <w:t xml:space="preserve">, </w:t>
      </w:r>
      <w:r w:rsidR="00C73E16" w:rsidRPr="10D47FC7">
        <w:rPr>
          <w:b/>
          <w:bCs/>
          <w:i/>
          <w:iCs/>
          <w:lang w:val="pl-PL"/>
        </w:rPr>
        <w:t>Panel uczestników</w:t>
      </w:r>
      <w:r w:rsidR="00C73E16" w:rsidRPr="10D47FC7">
        <w:rPr>
          <w:b/>
          <w:bCs/>
          <w:lang w:val="pl-PL"/>
        </w:rPr>
        <w:t xml:space="preserve">, </w:t>
      </w:r>
      <w:r w:rsidR="00C73E16" w:rsidRPr="10D47FC7">
        <w:rPr>
          <w:b/>
          <w:bCs/>
          <w:i/>
          <w:iCs/>
          <w:lang w:val="pl-PL"/>
        </w:rPr>
        <w:t>Digitalizacja – monitorowanie</w:t>
      </w:r>
      <w:r w:rsidR="00C73E16" w:rsidRPr="10D47FC7">
        <w:rPr>
          <w:b/>
          <w:bCs/>
          <w:lang w:val="pl-PL"/>
        </w:rPr>
        <w:t xml:space="preserve">, </w:t>
      </w:r>
      <w:r w:rsidR="00C73E16" w:rsidRPr="10D47FC7">
        <w:rPr>
          <w:b/>
          <w:bCs/>
          <w:i/>
          <w:iCs/>
          <w:lang w:val="pl-PL"/>
        </w:rPr>
        <w:t>Alerty</w:t>
      </w:r>
      <w:r w:rsidR="00EB4A93" w:rsidRPr="10D47FC7">
        <w:rPr>
          <w:b/>
          <w:bCs/>
          <w:lang w:val="pl-PL"/>
        </w:rPr>
        <w:t xml:space="preserve"> (III</w:t>
      </w:r>
      <w:r w:rsidR="00E35696" w:rsidRPr="10D47FC7">
        <w:rPr>
          <w:b/>
          <w:bCs/>
          <w:lang w:val="pl-PL"/>
        </w:rPr>
        <w:t>. Pkt 1-8</w:t>
      </w:r>
      <w:r w:rsidR="00EB4A93" w:rsidRPr="10D47FC7">
        <w:rPr>
          <w:b/>
          <w:bCs/>
          <w:lang w:val="pl-PL"/>
        </w:rPr>
        <w:t xml:space="preserve"> i VIII</w:t>
      </w:r>
      <w:r w:rsidR="00E35696" w:rsidRPr="10D47FC7">
        <w:rPr>
          <w:b/>
          <w:bCs/>
          <w:lang w:val="pl-PL"/>
        </w:rPr>
        <w:t>. Pkt 1-3</w:t>
      </w:r>
      <w:r w:rsidR="00EB4A93" w:rsidRPr="10D47FC7">
        <w:rPr>
          <w:b/>
          <w:bCs/>
          <w:lang w:val="pl-PL"/>
        </w:rPr>
        <w:t>)</w:t>
      </w:r>
    </w:p>
    <w:p w14:paraId="7C20AC08" w14:textId="138475B2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analiz,</w:t>
      </w:r>
      <w:r w:rsidR="00C73E16" w:rsidRPr="10D47FC7">
        <w:rPr>
          <w:color w:val="000000" w:themeColor="text1"/>
          <w:lang w:val="pl-PL"/>
        </w:rPr>
        <w:t xml:space="preserve"> </w:t>
      </w:r>
      <w:r w:rsidR="00C73E16" w:rsidRPr="10D47FC7">
        <w:rPr>
          <w:i/>
          <w:iCs/>
          <w:lang w:val="pl-PL"/>
        </w:rPr>
        <w:t xml:space="preserve">opisane w </w:t>
      </w:r>
      <w:r w:rsidR="00C73E16" w:rsidRPr="10D47FC7">
        <w:rPr>
          <w:b/>
          <w:bCs/>
          <w:i/>
          <w:iCs/>
          <w:lang w:val="pl-PL"/>
        </w:rPr>
        <w:t>Raporty/eksporty</w:t>
      </w:r>
      <w:r w:rsidR="00C73E16" w:rsidRPr="10D47FC7">
        <w:rPr>
          <w:b/>
          <w:bCs/>
          <w:lang w:val="pl-PL"/>
        </w:rPr>
        <w:t xml:space="preserve"> + </w:t>
      </w:r>
      <w:r w:rsidR="00C73E16" w:rsidRPr="10D47FC7">
        <w:rPr>
          <w:b/>
          <w:bCs/>
          <w:i/>
          <w:iCs/>
          <w:lang w:val="pl-PL"/>
        </w:rPr>
        <w:t>CDISC</w:t>
      </w:r>
      <w:r w:rsidR="00C73E16" w:rsidRPr="10D47FC7">
        <w:rPr>
          <w:b/>
          <w:bCs/>
          <w:lang w:val="pl-PL"/>
        </w:rPr>
        <w:t xml:space="preserve"> (</w:t>
      </w:r>
      <w:r w:rsidR="0031460F" w:rsidRPr="10D47FC7">
        <w:rPr>
          <w:b/>
          <w:bCs/>
          <w:lang w:val="pl-PL"/>
        </w:rPr>
        <w:t xml:space="preserve">III. </w:t>
      </w:r>
      <w:r w:rsidR="00C73E16" w:rsidRPr="10D47FC7">
        <w:rPr>
          <w:b/>
          <w:bCs/>
          <w:lang w:val="pl-PL"/>
        </w:rPr>
        <w:t>pkt 1</w:t>
      </w:r>
      <w:r w:rsidR="004E4702" w:rsidRPr="10D47FC7">
        <w:rPr>
          <w:b/>
          <w:bCs/>
          <w:lang w:val="pl-PL"/>
        </w:rPr>
        <w:t>-8 i XIV. pkt 6-7</w:t>
      </w:r>
      <w:r w:rsidR="00C73E16" w:rsidRPr="10D47FC7">
        <w:rPr>
          <w:b/>
          <w:bCs/>
          <w:lang w:val="pl-PL"/>
        </w:rPr>
        <w:t>).</w:t>
      </w:r>
    </w:p>
    <w:p w14:paraId="28E7C276" w14:textId="50C728A3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zarządzania jakością,</w:t>
      </w:r>
      <w:r w:rsidR="00C73E16" w:rsidRPr="10D47FC7">
        <w:rPr>
          <w:color w:val="000000" w:themeColor="text1"/>
          <w:lang w:val="pl-PL"/>
        </w:rPr>
        <w:t xml:space="preserve"> opisane w </w:t>
      </w:r>
      <w:r w:rsidR="00C73E16" w:rsidRPr="10D47FC7">
        <w:rPr>
          <w:b/>
          <w:bCs/>
          <w:color w:val="000000" w:themeColor="text1"/>
          <w:lang w:val="pl-PL"/>
        </w:rPr>
        <w:t>In</w:t>
      </w:r>
      <w:r w:rsidR="00C73E16" w:rsidRPr="10D47FC7">
        <w:rPr>
          <w:b/>
          <w:bCs/>
          <w:i/>
          <w:iCs/>
          <w:lang w:val="pl-PL"/>
        </w:rPr>
        <w:t>formacje audytowe</w:t>
      </w:r>
      <w:r w:rsidR="00C73E16" w:rsidRPr="10D47FC7">
        <w:rPr>
          <w:b/>
          <w:bCs/>
          <w:lang w:val="pl-PL"/>
        </w:rPr>
        <w:t xml:space="preserve"> </w:t>
      </w:r>
      <w:r w:rsidR="000A6C4D" w:rsidRPr="10D47FC7">
        <w:rPr>
          <w:b/>
          <w:bCs/>
          <w:lang w:val="pl-PL"/>
        </w:rPr>
        <w:t>(XII. Pkt</w:t>
      </w:r>
      <w:r w:rsidR="00434D93" w:rsidRPr="10D47FC7">
        <w:rPr>
          <w:b/>
          <w:bCs/>
          <w:lang w:val="pl-PL"/>
        </w:rPr>
        <w:t xml:space="preserve"> 1-7)</w:t>
      </w:r>
    </w:p>
    <w:p w14:paraId="6F09DE9A" w14:textId="7B81CC7E" w:rsidR="00654981" w:rsidRPr="00A77DD1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jc w:val="both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szkoleń personelu</w:t>
      </w:r>
      <w:r w:rsidR="00C73E16" w:rsidRPr="10D47FC7">
        <w:rPr>
          <w:color w:val="000000" w:themeColor="text1"/>
          <w:lang w:val="pl-PL"/>
        </w:rPr>
        <w:t xml:space="preserve">, opisane w </w:t>
      </w:r>
      <w:r w:rsidR="00C73E16" w:rsidRPr="10D47FC7">
        <w:rPr>
          <w:b/>
          <w:bCs/>
          <w:color w:val="000000" w:themeColor="text1"/>
          <w:lang w:val="pl-PL"/>
        </w:rPr>
        <w:t>pkt. IV</w:t>
      </w:r>
      <w:r w:rsidR="00C73E16" w:rsidRPr="10D47FC7">
        <w:rPr>
          <w:color w:val="000000" w:themeColor="text1"/>
          <w:lang w:val="pl-PL"/>
        </w:rPr>
        <w:t xml:space="preserve"> </w:t>
      </w:r>
      <w:r w:rsidR="00C73E16" w:rsidRPr="10D47FC7">
        <w:rPr>
          <w:b/>
          <w:bCs/>
          <w:i/>
          <w:iCs/>
          <w:lang w:val="pl-PL"/>
        </w:rPr>
        <w:t>Zarządzanie użytkownikami</w:t>
      </w:r>
      <w:r w:rsidR="00C73E16" w:rsidRPr="10D47FC7">
        <w:rPr>
          <w:b/>
          <w:bCs/>
          <w:lang w:val="pl-PL"/>
        </w:rPr>
        <w:t xml:space="preserve"> + </w:t>
      </w:r>
      <w:r w:rsidR="00C73E16" w:rsidRPr="10D47FC7">
        <w:rPr>
          <w:b/>
          <w:bCs/>
          <w:i/>
          <w:iCs/>
          <w:lang w:val="pl-PL"/>
        </w:rPr>
        <w:t>Alerty o wygaśnięciu</w:t>
      </w:r>
      <w:r w:rsidR="00C73E16" w:rsidRPr="10D47FC7">
        <w:rPr>
          <w:lang w:val="pl-PL"/>
        </w:rPr>
        <w:t>.</w:t>
      </w:r>
    </w:p>
    <w:p w14:paraId="2E10207C" w14:textId="405944E8" w:rsidR="00C73E16" w:rsidRPr="00E17715" w:rsidRDefault="7D725792" w:rsidP="10D47FC7">
      <w:pPr>
        <w:pStyle w:val="Akapitzlist"/>
        <w:numPr>
          <w:ilvl w:val="0"/>
          <w:numId w:val="12"/>
        </w:numPr>
        <w:spacing w:after="0"/>
        <w:ind w:left="263" w:hanging="263"/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>Funkcjonalność zapewnienia ochrony danych osobowych</w:t>
      </w:r>
      <w:r w:rsidR="00C73E16" w:rsidRPr="10D47FC7">
        <w:rPr>
          <w:color w:val="000000" w:themeColor="text1"/>
          <w:lang w:val="pl-PL"/>
        </w:rPr>
        <w:t xml:space="preserve">, opisane </w:t>
      </w:r>
      <w:r w:rsidR="002F609A" w:rsidRPr="10D47FC7">
        <w:rPr>
          <w:color w:val="000000" w:themeColor="text1"/>
          <w:lang w:val="pl-PL"/>
        </w:rPr>
        <w:t>w Administracja</w:t>
      </w:r>
      <w:r w:rsidR="00C73E16" w:rsidRPr="10D47FC7">
        <w:rPr>
          <w:b/>
          <w:bCs/>
          <w:color w:val="000000" w:themeColor="text1"/>
          <w:lang w:val="pl-PL"/>
        </w:rPr>
        <w:t xml:space="preserve"> i kontrola dostępu</w:t>
      </w:r>
      <w:r w:rsidR="00C73E16" w:rsidRPr="10D47FC7">
        <w:rPr>
          <w:color w:val="000000" w:themeColor="text1"/>
          <w:lang w:val="pl-PL"/>
        </w:rPr>
        <w:t xml:space="preserve"> </w:t>
      </w:r>
      <w:r w:rsidR="005F6A01" w:rsidRPr="10D47FC7">
        <w:rPr>
          <w:color w:val="000000" w:themeColor="text1"/>
          <w:lang w:val="pl-PL"/>
        </w:rPr>
        <w:t xml:space="preserve">(IX. Pkt 1-7) - </w:t>
      </w:r>
      <w:r w:rsidR="00C73E16" w:rsidRPr="10D47FC7">
        <w:rPr>
          <w:color w:val="000000" w:themeColor="text1"/>
          <w:lang w:val="pl-PL"/>
        </w:rPr>
        <w:t xml:space="preserve">konfiguracja profili, poziomy uprawnień, przypisywanie ról, ograniczanie dostępu do badań i funkcji platformy, integracja z SSO (Active Directory), polityka haseł, zarządzanie nieudanymi próbami logowania.  </w:t>
      </w:r>
      <w:r>
        <w:br/>
      </w:r>
      <w:r w:rsidR="00C73E16" w:rsidRPr="10D47FC7">
        <w:rPr>
          <w:b/>
          <w:bCs/>
          <w:color w:val="000000" w:themeColor="text1"/>
          <w:lang w:val="pl-PL"/>
        </w:rPr>
        <w:t>Informacje audytowe (</w:t>
      </w:r>
      <w:r w:rsidR="005F6A01" w:rsidRPr="10D47FC7">
        <w:rPr>
          <w:b/>
          <w:bCs/>
          <w:color w:val="000000" w:themeColor="text1"/>
          <w:lang w:val="pl-PL"/>
        </w:rPr>
        <w:t xml:space="preserve">XII. </w:t>
      </w:r>
      <w:r w:rsidR="005E28ED" w:rsidRPr="10D47FC7">
        <w:rPr>
          <w:b/>
          <w:bCs/>
          <w:color w:val="000000" w:themeColor="text1"/>
          <w:lang w:val="pl-PL"/>
        </w:rPr>
        <w:t>P</w:t>
      </w:r>
      <w:r w:rsidR="005F6A01" w:rsidRPr="10D47FC7">
        <w:rPr>
          <w:b/>
          <w:bCs/>
          <w:color w:val="000000" w:themeColor="text1"/>
          <w:lang w:val="pl-PL"/>
        </w:rPr>
        <w:t>kt</w:t>
      </w:r>
      <w:r w:rsidR="005E28ED" w:rsidRPr="10D47FC7">
        <w:rPr>
          <w:b/>
          <w:bCs/>
          <w:color w:val="000000" w:themeColor="text1"/>
          <w:lang w:val="pl-PL"/>
        </w:rPr>
        <w:t xml:space="preserve"> 1-7</w:t>
      </w:r>
      <w:r w:rsidR="00C73E16" w:rsidRPr="10D47FC7">
        <w:rPr>
          <w:b/>
          <w:bCs/>
          <w:color w:val="000000" w:themeColor="text1"/>
          <w:lang w:val="pl-PL"/>
        </w:rPr>
        <w:t>)</w:t>
      </w:r>
      <w:r w:rsidR="00C73E16" w:rsidRPr="10D47FC7">
        <w:rPr>
          <w:color w:val="000000" w:themeColor="text1"/>
          <w:lang w:val="pl-PL"/>
        </w:rPr>
        <w:t xml:space="preserve"> – pełny audit trail (śledzenie zmian, znacznik czasu, identyfikacja użytkownika, powód zmiany, oryginalna zawartość pola). </w:t>
      </w:r>
    </w:p>
    <w:p w14:paraId="3BBB11F5" w14:textId="32DFD958" w:rsidR="00C73E16" w:rsidRPr="00E17715" w:rsidRDefault="00C73E16" w:rsidP="10D47FC7">
      <w:pPr>
        <w:pStyle w:val="Akapitzlist"/>
        <w:ind w:left="263"/>
        <w:jc w:val="both"/>
        <w:rPr>
          <w:color w:val="000000" w:themeColor="text1"/>
          <w:lang w:val="pl-PL"/>
        </w:rPr>
      </w:pPr>
      <w:r w:rsidRPr="10D47FC7">
        <w:rPr>
          <w:b/>
          <w:bCs/>
          <w:color w:val="000000" w:themeColor="text1"/>
          <w:lang w:val="pl-PL"/>
        </w:rPr>
        <w:t>Zarządzanie dokumentami</w:t>
      </w:r>
      <w:r w:rsidRPr="10D47FC7">
        <w:rPr>
          <w:color w:val="000000" w:themeColor="text1"/>
          <w:lang w:val="pl-PL"/>
        </w:rPr>
        <w:t xml:space="preserve"> (</w:t>
      </w:r>
      <w:r w:rsidR="005E28ED" w:rsidRPr="10D47FC7">
        <w:rPr>
          <w:color w:val="000000" w:themeColor="text1"/>
          <w:lang w:val="pl-PL"/>
        </w:rPr>
        <w:t>VI. Pkt 1-8</w:t>
      </w:r>
      <w:r w:rsidRPr="10D47FC7">
        <w:rPr>
          <w:color w:val="000000" w:themeColor="text1"/>
          <w:lang w:val="pl-PL"/>
        </w:rPr>
        <w:t xml:space="preserve">) – możliwość archiwizacji, elektroniczny podpis, historia wersji, zgodność z ICH GCP. </w:t>
      </w:r>
    </w:p>
    <w:p w14:paraId="12ACC6D6" w14:textId="11D04C16" w:rsidR="00C73E16" w:rsidRPr="00E17715" w:rsidRDefault="00C73E16" w:rsidP="10D47FC7">
      <w:pPr>
        <w:pStyle w:val="Akapitzlist"/>
        <w:ind w:left="263"/>
        <w:jc w:val="both"/>
        <w:rPr>
          <w:color w:val="000000" w:themeColor="text1"/>
          <w:lang w:val="pl-PL"/>
        </w:rPr>
      </w:pPr>
      <w:r w:rsidRPr="10D47FC7">
        <w:rPr>
          <w:b/>
          <w:bCs/>
          <w:color w:val="000000" w:themeColor="text1"/>
          <w:lang w:val="pl-PL"/>
        </w:rPr>
        <w:t>Digitalizacja procesów</w:t>
      </w:r>
      <w:r w:rsidRPr="10D47FC7">
        <w:rPr>
          <w:color w:val="000000" w:themeColor="text1"/>
          <w:lang w:val="pl-PL"/>
        </w:rPr>
        <w:t xml:space="preserve"> (</w:t>
      </w:r>
      <w:r w:rsidR="005E28ED" w:rsidRPr="10D47FC7">
        <w:rPr>
          <w:color w:val="000000" w:themeColor="text1"/>
          <w:lang w:val="pl-PL"/>
        </w:rPr>
        <w:t>X. pkt</w:t>
      </w:r>
      <w:r w:rsidR="00FB6CE0" w:rsidRPr="10D47FC7">
        <w:rPr>
          <w:color w:val="000000" w:themeColor="text1"/>
          <w:lang w:val="pl-PL"/>
        </w:rPr>
        <w:t xml:space="preserve"> 1-4</w:t>
      </w:r>
      <w:r w:rsidRPr="10D47FC7">
        <w:rPr>
          <w:color w:val="000000" w:themeColor="text1"/>
          <w:lang w:val="pl-PL"/>
        </w:rPr>
        <w:t xml:space="preserve">) – monitorowanie i alarmowanie, kontrola integralności danych. </w:t>
      </w:r>
    </w:p>
    <w:p w14:paraId="283DF490" w14:textId="1CBA2771" w:rsidR="00654981" w:rsidRDefault="00C73E16" w:rsidP="10D47FC7">
      <w:pPr>
        <w:pStyle w:val="Akapitzlist"/>
        <w:spacing w:after="0"/>
        <w:ind w:left="263"/>
        <w:jc w:val="both"/>
        <w:rPr>
          <w:color w:val="000000" w:themeColor="text1"/>
          <w:lang w:val="pl-PL"/>
        </w:rPr>
      </w:pPr>
      <w:r w:rsidRPr="10D47FC7">
        <w:rPr>
          <w:b/>
          <w:bCs/>
          <w:color w:val="000000" w:themeColor="text1"/>
          <w:lang w:val="pl-PL"/>
        </w:rPr>
        <w:t>Integracja i infrastruktura (</w:t>
      </w:r>
      <w:r w:rsidR="00FB6CE0" w:rsidRPr="10D47FC7">
        <w:rPr>
          <w:b/>
          <w:bCs/>
          <w:color w:val="000000" w:themeColor="text1"/>
          <w:lang w:val="pl-PL"/>
        </w:rPr>
        <w:t>XIV. Pkt 1-</w:t>
      </w:r>
      <w:r w:rsidR="00FF0309" w:rsidRPr="10D47FC7">
        <w:rPr>
          <w:b/>
          <w:bCs/>
          <w:color w:val="000000" w:themeColor="text1"/>
          <w:lang w:val="pl-PL"/>
        </w:rPr>
        <w:t>7</w:t>
      </w:r>
      <w:r w:rsidRPr="10D47FC7">
        <w:rPr>
          <w:b/>
          <w:bCs/>
          <w:color w:val="000000" w:themeColor="text1"/>
          <w:lang w:val="pl-PL"/>
        </w:rPr>
        <w:t>)</w:t>
      </w:r>
      <w:r w:rsidRPr="10D47FC7">
        <w:rPr>
          <w:color w:val="000000" w:themeColor="text1"/>
          <w:lang w:val="pl-PL"/>
        </w:rPr>
        <w:t xml:space="preserve"> – szyfrowanie transmisji, uwierzytelnianie, autoryzacja, centralne logowanie i monitorowanie operacji integracyjnych</w:t>
      </w:r>
    </w:p>
    <w:p w14:paraId="05FC3941" w14:textId="32491F4E" w:rsidR="10D47FC7" w:rsidRDefault="10D47FC7" w:rsidP="10D47FC7">
      <w:pPr>
        <w:pStyle w:val="Akapitzlist"/>
        <w:spacing w:after="0"/>
        <w:ind w:left="263"/>
        <w:jc w:val="both"/>
        <w:rPr>
          <w:color w:val="000000" w:themeColor="text1"/>
          <w:lang w:val="pl-PL"/>
        </w:rPr>
      </w:pPr>
    </w:p>
    <w:p w14:paraId="0568DC9D" w14:textId="5FE877AA" w:rsidR="10D47FC7" w:rsidRDefault="10D47FC7" w:rsidP="10D47FC7">
      <w:pPr>
        <w:pStyle w:val="Akapitzlist"/>
        <w:spacing w:after="0"/>
        <w:ind w:left="263"/>
        <w:jc w:val="both"/>
        <w:rPr>
          <w:color w:val="000000" w:themeColor="text1"/>
          <w:lang w:val="pl-PL"/>
        </w:rPr>
      </w:pPr>
    </w:p>
    <w:p w14:paraId="62372291" w14:textId="77777777" w:rsidR="008857AE" w:rsidRPr="00A77DD1" w:rsidRDefault="008857AE" w:rsidP="10D47FC7">
      <w:pPr>
        <w:pStyle w:val="Akapitzlist"/>
        <w:spacing w:after="0"/>
        <w:ind w:left="263"/>
        <w:jc w:val="both"/>
        <w:rPr>
          <w:color w:val="000000" w:themeColor="text1"/>
          <w:lang w:val="pl-PL"/>
        </w:rPr>
      </w:pPr>
    </w:p>
    <w:p w14:paraId="482E9224" w14:textId="6FC89658" w:rsidR="0059600F" w:rsidRPr="008857AE" w:rsidRDefault="00407BF0" w:rsidP="10D47FC7">
      <w:pPr>
        <w:rPr>
          <w:b/>
          <w:bCs/>
          <w:lang w:val="pl-PL"/>
        </w:rPr>
      </w:pPr>
      <w:r w:rsidRPr="10D47FC7">
        <w:rPr>
          <w:b/>
          <w:bCs/>
          <w:lang w:val="pl-PL"/>
        </w:rPr>
        <w:lastRenderedPageBreak/>
        <w:t>4</w:t>
      </w:r>
      <w:r w:rsidR="008857AE" w:rsidRPr="10D47FC7">
        <w:rPr>
          <w:b/>
          <w:bCs/>
          <w:lang w:val="pl-PL"/>
        </w:rPr>
        <w:t>.</w:t>
      </w:r>
      <w:r w:rsidRPr="10D47FC7">
        <w:rPr>
          <w:b/>
          <w:bCs/>
          <w:color w:val="F6F6F6"/>
          <w:lang w:val="pl-PL"/>
        </w:rPr>
        <w:t xml:space="preserve">. </w:t>
      </w:r>
      <w:r w:rsidR="0059600F" w:rsidRPr="10D47FC7">
        <w:rPr>
          <w:b/>
          <w:bCs/>
          <w:lang w:val="pl-PL"/>
        </w:rPr>
        <w:t>Przedmiotowy środek dowodowy – prezentacja próbki (demo)</w:t>
      </w:r>
    </w:p>
    <w:p w14:paraId="3DA9428C" w14:textId="77777777" w:rsidR="0059600F" w:rsidRPr="00F64B08" w:rsidRDefault="0059600F" w:rsidP="10D47FC7">
      <w:pPr>
        <w:rPr>
          <w:lang w:val="pl-PL"/>
        </w:rPr>
      </w:pPr>
      <w:r w:rsidRPr="10D47FC7">
        <w:rPr>
          <w:lang w:val="pl-PL"/>
        </w:rPr>
        <w:t xml:space="preserve">Zgodnie z art. 99 ust. 5 ustawy Prawo zamówień publicznych, w celu potwierdzenia spełnienia wymagań określonych w Opisie Przedmiotu Zamówienia, Wykonawca zobowiązany jest do złożenia wraz z ofertą </w:t>
      </w:r>
      <w:r w:rsidRPr="10D47FC7">
        <w:rPr>
          <w:b/>
          <w:bCs/>
          <w:lang w:val="pl-PL"/>
        </w:rPr>
        <w:t>próbki w postaci prezentacji kluczowych funkcjonalności systemu</w:t>
      </w:r>
      <w:r w:rsidRPr="10D47FC7">
        <w:rPr>
          <w:lang w:val="pl-PL"/>
        </w:rPr>
        <w:t>.</w:t>
      </w:r>
    </w:p>
    <w:p w14:paraId="216ADC0A" w14:textId="77777777" w:rsidR="0059600F" w:rsidRPr="00F64B08" w:rsidRDefault="0059600F" w:rsidP="10D47FC7">
      <w:pPr>
        <w:rPr>
          <w:b/>
          <w:bCs/>
        </w:rPr>
      </w:pPr>
      <w:r w:rsidRPr="10D47FC7">
        <w:rPr>
          <w:b/>
          <w:bCs/>
        </w:rPr>
        <w:t>Zakres prezentacji próbki:</w:t>
      </w:r>
    </w:p>
    <w:p w14:paraId="1B8823AF" w14:textId="77777777" w:rsidR="0059600F" w:rsidRPr="00F64B08" w:rsidRDefault="0059600F" w:rsidP="10D47FC7">
      <w:pPr>
        <w:numPr>
          <w:ilvl w:val="0"/>
          <w:numId w:val="25"/>
        </w:numPr>
        <w:spacing w:line="278" w:lineRule="auto"/>
        <w:rPr>
          <w:lang w:val="pl-PL"/>
        </w:rPr>
      </w:pPr>
      <w:r w:rsidRPr="10D47FC7">
        <w:rPr>
          <w:lang w:val="pl-PL"/>
        </w:rPr>
        <w:t>Rejestracja badania klinicznego z harmonogramem i przypisaniem roli badacza.</w:t>
      </w:r>
    </w:p>
    <w:p w14:paraId="50CD9EF4" w14:textId="77777777" w:rsidR="0059600F" w:rsidRPr="00F64B08" w:rsidRDefault="0059600F" w:rsidP="10D47FC7">
      <w:pPr>
        <w:numPr>
          <w:ilvl w:val="0"/>
          <w:numId w:val="25"/>
        </w:numPr>
        <w:spacing w:line="278" w:lineRule="auto"/>
        <w:rPr>
          <w:lang w:val="pl-PL"/>
        </w:rPr>
      </w:pPr>
      <w:r w:rsidRPr="10D47FC7">
        <w:rPr>
          <w:lang w:val="pl-PL"/>
        </w:rPr>
        <w:t>Dodanie uczestnika i rejestracja wizyty.</w:t>
      </w:r>
    </w:p>
    <w:p w14:paraId="7B57E12F" w14:textId="77777777" w:rsidR="0059600F" w:rsidRPr="00F64B08" w:rsidRDefault="0059600F" w:rsidP="10D47FC7">
      <w:pPr>
        <w:numPr>
          <w:ilvl w:val="0"/>
          <w:numId w:val="25"/>
        </w:numPr>
        <w:spacing w:line="278" w:lineRule="auto"/>
        <w:rPr>
          <w:lang w:val="pl-PL"/>
        </w:rPr>
      </w:pPr>
      <w:r w:rsidRPr="10D47FC7">
        <w:rPr>
          <w:lang w:val="pl-PL"/>
        </w:rPr>
        <w:t>Załadowanie dokumentu i prezentacja historii wersji.</w:t>
      </w:r>
    </w:p>
    <w:p w14:paraId="7566D383" w14:textId="24F83B2F" w:rsidR="0059600F" w:rsidRPr="00F64B08" w:rsidRDefault="0059600F" w:rsidP="10D47FC7">
      <w:pPr>
        <w:numPr>
          <w:ilvl w:val="0"/>
          <w:numId w:val="25"/>
        </w:numPr>
        <w:spacing w:line="278" w:lineRule="auto"/>
        <w:rPr>
          <w:lang w:val="pl-PL"/>
        </w:rPr>
      </w:pPr>
      <w:r w:rsidRPr="10D47FC7">
        <w:rPr>
          <w:lang w:val="pl-PL"/>
        </w:rPr>
        <w:t>Utworzenie formularza eCRF i jego wypełnienie</w:t>
      </w:r>
      <w:r w:rsidR="10B20A2E" w:rsidRPr="10D47FC7">
        <w:rPr>
          <w:lang w:val="pl-PL"/>
        </w:rPr>
        <w:t>, zgodnie z protokołem wskazanym przez zamawiającego</w:t>
      </w:r>
      <w:r w:rsidRPr="10D47FC7">
        <w:rPr>
          <w:lang w:val="pl-PL"/>
        </w:rPr>
        <w:t>.</w:t>
      </w:r>
    </w:p>
    <w:p w14:paraId="04CD4A25" w14:textId="77777777" w:rsidR="0059600F" w:rsidRPr="00F64B08" w:rsidRDefault="0059600F" w:rsidP="10D47FC7">
      <w:pPr>
        <w:numPr>
          <w:ilvl w:val="0"/>
          <w:numId w:val="25"/>
        </w:numPr>
        <w:spacing w:line="278" w:lineRule="auto"/>
        <w:rPr>
          <w:lang w:val="pl-PL"/>
        </w:rPr>
      </w:pPr>
      <w:r w:rsidRPr="10D47FC7">
        <w:rPr>
          <w:lang w:val="pl-PL"/>
        </w:rPr>
        <w:t>Wyświetlenie dashboardu z KPI i eksport raportu do XLSX.</w:t>
      </w:r>
    </w:p>
    <w:p w14:paraId="52A2232A" w14:textId="77777777" w:rsidR="0059600F" w:rsidRPr="00A77DD1" w:rsidRDefault="0059600F" w:rsidP="10D47FC7">
      <w:pPr>
        <w:rPr>
          <w:b/>
          <w:bCs/>
          <w:lang w:val="pl-PL"/>
        </w:rPr>
      </w:pPr>
      <w:r w:rsidRPr="10D47FC7">
        <w:rPr>
          <w:b/>
          <w:bCs/>
          <w:lang w:val="pl-PL"/>
        </w:rPr>
        <w:t>Forma złożenia:</w:t>
      </w:r>
    </w:p>
    <w:p w14:paraId="312BE52A" w14:textId="77777777" w:rsidR="0059600F" w:rsidRPr="00F64B08" w:rsidRDefault="0059600F" w:rsidP="10D47FC7">
      <w:pPr>
        <w:rPr>
          <w:lang w:val="pl-PL"/>
        </w:rPr>
      </w:pPr>
      <w:r w:rsidRPr="10D47FC7">
        <w:rPr>
          <w:lang w:val="pl-PL"/>
        </w:rPr>
        <w:t xml:space="preserve">Prezentacja próbki musi zostać dołączona do oferty w formie pliku PDF, zawierającego: </w:t>
      </w:r>
    </w:p>
    <w:p w14:paraId="7C034D1A" w14:textId="4AC9A5B4" w:rsidR="0059600F" w:rsidRDefault="0059600F" w:rsidP="10D47FC7">
      <w:pPr>
        <w:pStyle w:val="Akapitzlist"/>
        <w:numPr>
          <w:ilvl w:val="0"/>
          <w:numId w:val="26"/>
        </w:numPr>
        <w:spacing w:line="278" w:lineRule="auto"/>
      </w:pPr>
      <w:r w:rsidRPr="10D47FC7">
        <w:t>Opis wykonanych czynności</w:t>
      </w:r>
      <w:r w:rsidR="002F609A" w:rsidRPr="10D47FC7">
        <w:t>.</w:t>
      </w:r>
    </w:p>
    <w:p w14:paraId="25B1DE46" w14:textId="77777777" w:rsidR="0059600F" w:rsidRPr="00F64B08" w:rsidRDefault="0059600F" w:rsidP="10D47FC7">
      <w:pPr>
        <w:pStyle w:val="Akapitzlist"/>
        <w:numPr>
          <w:ilvl w:val="0"/>
          <w:numId w:val="26"/>
        </w:numPr>
        <w:spacing w:line="278" w:lineRule="auto"/>
        <w:rPr>
          <w:lang w:val="pl-PL"/>
        </w:rPr>
      </w:pPr>
      <w:r w:rsidRPr="10D47FC7">
        <w:rPr>
          <w:lang w:val="pl-PL"/>
        </w:rPr>
        <w:t>Zrzuty ekranu bezpośrednio z systemu, potwierdzające realizację powyższych funkcjonalności.</w:t>
      </w:r>
    </w:p>
    <w:p w14:paraId="33A8F8C6" w14:textId="77777777" w:rsidR="0059600F" w:rsidRPr="00F64B08" w:rsidRDefault="0059600F" w:rsidP="10D47FC7">
      <w:pPr>
        <w:rPr>
          <w:b/>
          <w:bCs/>
          <w:lang w:val="pl-PL"/>
        </w:rPr>
      </w:pPr>
      <w:r w:rsidRPr="10D47FC7">
        <w:rPr>
          <w:b/>
          <w:bCs/>
          <w:lang w:val="pl-PL"/>
        </w:rPr>
        <w:t>Dodatkowy warunek:</w:t>
      </w:r>
    </w:p>
    <w:p w14:paraId="745C997F" w14:textId="77777777" w:rsidR="0059600F" w:rsidRPr="00F64B08" w:rsidRDefault="0059600F" w:rsidP="10D47FC7">
      <w:pPr>
        <w:rPr>
          <w:lang w:val="pl-PL"/>
        </w:rPr>
      </w:pPr>
      <w:r w:rsidRPr="10D47FC7">
        <w:rPr>
          <w:lang w:val="pl-PL"/>
        </w:rPr>
        <w:t xml:space="preserve">Zamawiający zastrzega sobie prawo wezwania Wykonawcy do </w:t>
      </w:r>
      <w:r w:rsidRPr="10D47FC7">
        <w:rPr>
          <w:b/>
          <w:bCs/>
          <w:lang w:val="pl-PL"/>
        </w:rPr>
        <w:t>stacjonarnej prezentacji działania systemu</w:t>
      </w:r>
      <w:r w:rsidRPr="10D47FC7">
        <w:rPr>
          <w:lang w:val="pl-PL"/>
        </w:rPr>
        <w:t xml:space="preserve"> przedstawionego w próbce demo w siedzibie Zamawiającego, w terminie wskazanym przez Zamawiającego.</w:t>
      </w:r>
    </w:p>
    <w:p w14:paraId="1F79879D" w14:textId="77777777" w:rsidR="0059600F" w:rsidRPr="00F64B08" w:rsidRDefault="0059600F" w:rsidP="10D47FC7">
      <w:pPr>
        <w:rPr>
          <w:b/>
          <w:bCs/>
          <w:lang w:val="pl-PL"/>
        </w:rPr>
      </w:pPr>
      <w:r w:rsidRPr="10D47FC7">
        <w:rPr>
          <w:b/>
          <w:bCs/>
          <w:lang w:val="pl-PL"/>
        </w:rPr>
        <w:t>Konsekwencje braku spełnienia wymogu:</w:t>
      </w:r>
    </w:p>
    <w:p w14:paraId="54422B8E" w14:textId="22BDCCC0" w:rsidR="0089511D" w:rsidRPr="0083021B" w:rsidRDefault="0059600F" w:rsidP="10D47FC7">
      <w:pPr>
        <w:rPr>
          <w:lang w:val="pl-PL"/>
        </w:rPr>
      </w:pPr>
      <w:r w:rsidRPr="10D47FC7">
        <w:rPr>
          <w:lang w:val="pl-PL"/>
        </w:rPr>
        <w:t>Brak złożenia próbki w wymaganej formie lub odmowa prezentacji systemu na wezwanie Zamawiającego będzie skutkować odrzuceniem oferty na podstawie art. 226 ust. 1 pkt 5 ustawy PZP.</w:t>
      </w:r>
    </w:p>
    <w:p w14:paraId="3F24FB67" w14:textId="421DF23D" w:rsidR="259B6608" w:rsidRDefault="259B6608" w:rsidP="10D47FC7">
      <w:pPr>
        <w:rPr>
          <w:lang w:val="pl-PL"/>
        </w:rPr>
      </w:pPr>
      <w:r w:rsidRPr="10D47FC7">
        <w:rPr>
          <w:lang w:val="pl-PL"/>
        </w:rPr>
        <w:lastRenderedPageBreak/>
        <w:t>Harmonogram wdrożenia</w:t>
      </w:r>
    </w:p>
    <w:p w14:paraId="02B0B7B9" w14:textId="572D4E20" w:rsidR="2E50824E" w:rsidRDefault="2E50824E" w:rsidP="10D47FC7">
      <w:pPr>
        <w:rPr>
          <w:color w:val="000000" w:themeColor="text1"/>
          <w:lang w:val="pl-PL"/>
        </w:rPr>
      </w:pPr>
      <w:r w:rsidRPr="10D47FC7">
        <w:rPr>
          <w:color w:val="000000" w:themeColor="text1"/>
          <w:lang w:val="pl-PL"/>
        </w:rPr>
        <w:t xml:space="preserve">Zamawiający wymaga od wykonawcy przeprowadzenia wdrożenia i </w:t>
      </w:r>
      <w:r w:rsidR="1CDC8F4F" w:rsidRPr="10D47FC7">
        <w:rPr>
          <w:color w:val="000000" w:themeColor="text1"/>
          <w:lang w:val="pl-PL"/>
        </w:rPr>
        <w:t>szkoleń</w:t>
      </w:r>
      <w:r w:rsidRPr="10D47FC7">
        <w:rPr>
          <w:color w:val="000000" w:themeColor="text1"/>
          <w:lang w:val="pl-PL"/>
        </w:rPr>
        <w:t xml:space="preserve"> zgodnie z założeniami projektu.  opisane (pkt. XV</w:t>
      </w:r>
      <w:r w:rsidR="49B732A4" w:rsidRPr="10D47FC7">
        <w:rPr>
          <w:color w:val="000000" w:themeColor="text1"/>
          <w:lang w:val="pl-PL"/>
        </w:rPr>
        <w:t>I</w:t>
      </w:r>
      <w:r w:rsidRPr="10D47FC7">
        <w:rPr>
          <w:color w:val="000000" w:themeColor="text1"/>
          <w:lang w:val="pl-PL"/>
        </w:rPr>
        <w:t>)</w:t>
      </w:r>
    </w:p>
    <w:p w14:paraId="403F86B7" w14:textId="77777777" w:rsidR="00654981" w:rsidRPr="00A77DD1" w:rsidRDefault="00654981" w:rsidP="10D47FC7">
      <w:pPr>
        <w:pStyle w:val="P68B1DB1-Heading16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pl-PL"/>
        </w:rPr>
      </w:pPr>
    </w:p>
    <w:p w14:paraId="2CE63C55" w14:textId="14AE747D" w:rsidR="009A06C3" w:rsidRPr="00A77DD1" w:rsidRDefault="000535B4" w:rsidP="10D47FC7">
      <w:pPr>
        <w:pStyle w:val="P68B1DB1-Normal1"/>
        <w:jc w:val="both"/>
        <w:rPr>
          <w:rFonts w:asciiTheme="minorHAnsi" w:hAnsiTheme="minorHAnsi" w:cstheme="minorBidi"/>
          <w:lang w:val="pl-PL"/>
        </w:rPr>
      </w:pPr>
      <w:r w:rsidRPr="10D47FC7">
        <w:rPr>
          <w:rFonts w:asciiTheme="minorHAnsi" w:hAnsiTheme="minorHAnsi" w:cstheme="minorBidi"/>
          <w:lang w:val="pl-PL"/>
        </w:rPr>
        <w:t>O</w:t>
      </w:r>
      <w:r w:rsidR="0083021B" w:rsidRPr="10D47FC7">
        <w:rPr>
          <w:rFonts w:asciiTheme="minorHAnsi" w:hAnsiTheme="minorHAnsi" w:cstheme="minorBidi"/>
          <w:lang w:val="pl-PL"/>
        </w:rPr>
        <w:t>pis</w:t>
      </w:r>
    </w:p>
    <w:p w14:paraId="11036C6F" w14:textId="77777777" w:rsidR="009A06C3" w:rsidRPr="00A77DD1" w:rsidRDefault="009A06C3" w:rsidP="10D47FC7">
      <w:pPr>
        <w:jc w:val="both"/>
        <w:rPr>
          <w:lang w:val="pl-PL"/>
        </w:rPr>
      </w:pPr>
    </w:p>
    <w:tbl>
      <w:tblPr>
        <w:tblW w:w="9971" w:type="dxa"/>
        <w:tblInd w:w="37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48"/>
        <w:gridCol w:w="927"/>
        <w:gridCol w:w="8996"/>
      </w:tblGrid>
      <w:tr w:rsidR="00B55101" w:rsidRPr="00A63D10" w14:paraId="4A2A3260" w14:textId="77777777" w:rsidTr="10D47FC7">
        <w:tc>
          <w:tcPr>
            <w:tcW w:w="9971" w:type="dxa"/>
            <w:gridSpan w:val="3"/>
          </w:tcPr>
          <w:p w14:paraId="2A5CEE2E" w14:textId="0553021D" w:rsidR="00B55101" w:rsidRPr="00A77DD1" w:rsidRDefault="00B55101" w:rsidP="10D47FC7"/>
        </w:tc>
      </w:tr>
      <w:tr w:rsidR="005E7150" w:rsidRPr="008857AE" w14:paraId="4EA05479" w14:textId="77777777" w:rsidTr="10D47FC7">
        <w:tc>
          <w:tcPr>
            <w:tcW w:w="9971" w:type="dxa"/>
            <w:gridSpan w:val="3"/>
          </w:tcPr>
          <w:p w14:paraId="31FCE9C1" w14:textId="4094440A" w:rsidR="005E7150" w:rsidRPr="00A77DD1" w:rsidRDefault="624C4522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t>Rejestracja, projektowanie i zarządzanie badaniami klinicznymi</w:t>
            </w:r>
            <w:r w:rsidR="7BBB097A" w:rsidRPr="10D47FC7">
              <w:rPr>
                <w:lang w:val="pl-PL"/>
              </w:rPr>
              <w:t xml:space="preserve"> (System do zarządzania badaniami klinicznymi)</w:t>
            </w:r>
          </w:p>
        </w:tc>
      </w:tr>
      <w:tr w:rsidR="00B55101" w:rsidRPr="008857AE" w14:paraId="6C8BF59C" w14:textId="77777777" w:rsidTr="10D47FC7">
        <w:tc>
          <w:tcPr>
            <w:tcW w:w="975" w:type="dxa"/>
            <w:gridSpan w:val="2"/>
          </w:tcPr>
          <w:p w14:paraId="77D58B1B" w14:textId="77777777" w:rsidR="00B55101" w:rsidRPr="006C170D" w:rsidRDefault="00B55101" w:rsidP="10D47FC7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0E2CAF28" w14:textId="77777777" w:rsidR="005E7150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Ustrukturyzowana rejestracja nowych badań klinicznych i monitorowanie różnych faz i etapów badań, niezależnie od tego, czy zostały one zainicjowane przez sponsora czy badacza.</w:t>
            </w:r>
          </w:p>
          <w:p w14:paraId="56469341" w14:textId="0C537684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7822DBF0" w14:textId="77777777" w:rsidTr="10D47FC7">
        <w:tc>
          <w:tcPr>
            <w:tcW w:w="975" w:type="dxa"/>
            <w:gridSpan w:val="2"/>
          </w:tcPr>
          <w:p w14:paraId="505A4912" w14:textId="77777777" w:rsidR="00B55101" w:rsidRPr="006C170D" w:rsidRDefault="00B55101" w:rsidP="10D47FC7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3BCE1236" w14:textId="77777777" w:rsidR="005E7150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Projekt badania (uwzględnienie kryteriów i konfiguracja harmonogramu).</w:t>
            </w:r>
          </w:p>
          <w:p w14:paraId="32B22ADB" w14:textId="78F65574" w:rsidR="00B55101" w:rsidRPr="006C170D" w:rsidRDefault="00B55101" w:rsidP="10D47FC7">
            <w:pPr>
              <w:pStyle w:val="P68B1DB1-ListParagraph2"/>
              <w:ind w:left="1222"/>
              <w:jc w:val="both"/>
              <w:rPr>
                <w:rFonts w:asciiTheme="minorHAnsi" w:hAnsiTheme="minorHAnsi" w:cstheme="minorBidi"/>
                <w:lang w:val="pl-PL"/>
              </w:rPr>
            </w:pPr>
          </w:p>
        </w:tc>
      </w:tr>
      <w:tr w:rsidR="00B55101" w:rsidRPr="00A63D10" w14:paraId="6AF36F4B" w14:textId="77777777" w:rsidTr="10D47FC7">
        <w:tc>
          <w:tcPr>
            <w:tcW w:w="975" w:type="dxa"/>
            <w:gridSpan w:val="2"/>
          </w:tcPr>
          <w:p w14:paraId="6C5C71DB" w14:textId="77777777" w:rsidR="00B55101" w:rsidRPr="006C170D" w:rsidRDefault="00B55101" w:rsidP="10D47FC7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52A310F5" w14:textId="77777777" w:rsidR="005E7150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Konsultacje i aktualizacja informacji o wszystkich zaangażowanych stronach. </w:t>
            </w:r>
            <w:r w:rsidRPr="10D47FC7">
              <w:rPr>
                <w:rFonts w:asciiTheme="minorHAnsi" w:hAnsiTheme="minorHAnsi" w:cstheme="minorBidi"/>
              </w:rPr>
              <w:t>Na przykład: sponsorzy, organizacje badawcze (CRO), badacze i inni.</w:t>
            </w:r>
          </w:p>
          <w:p w14:paraId="3188DF83" w14:textId="1D39497D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7613303" w:rsidRPr="008857AE" w14:paraId="0EDF1924" w14:textId="77777777" w:rsidTr="10D47FC7">
        <w:trPr>
          <w:trHeight w:val="300"/>
        </w:trPr>
        <w:tc>
          <w:tcPr>
            <w:tcW w:w="975" w:type="dxa"/>
            <w:gridSpan w:val="2"/>
          </w:tcPr>
          <w:p w14:paraId="1940D31A" w14:textId="4CD312A4" w:rsidR="5A7E7F53" w:rsidRDefault="5FA505CA" w:rsidP="10D47FC7">
            <w:pPr>
              <w:spacing w:line="240" w:lineRule="auto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63EB766A" w14:textId="47136F37" w:rsidR="5A7E7F53" w:rsidRDefault="5FA505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pozwalać na prowadzenie Rejestru badań klinicznych, projektów badawczych aktualizowanych przez użytkownika na bieżąco w tym rejestru podpisywanych umów, aneksów. System umożliwia import danych do Rejestrów z pliku płaskiego oraz export danych do pliku (.csv, .xls, .pdf).</w:t>
            </w:r>
          </w:p>
        </w:tc>
      </w:tr>
      <w:tr w:rsidR="005E7150" w:rsidRPr="008857AE" w14:paraId="6A275ACA" w14:textId="77777777" w:rsidTr="10D47FC7">
        <w:tc>
          <w:tcPr>
            <w:tcW w:w="9971" w:type="dxa"/>
            <w:gridSpan w:val="3"/>
          </w:tcPr>
          <w:p w14:paraId="09DC7955" w14:textId="5CED4D37" w:rsidR="005E7150" w:rsidRPr="006C170D" w:rsidRDefault="624C4522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t>Zarządzanie finansami i budżetowanie</w:t>
            </w:r>
            <w:r w:rsidR="08A16DDF" w:rsidRPr="10D47FC7">
              <w:rPr>
                <w:lang w:val="pl-PL"/>
              </w:rPr>
              <w:t xml:space="preserve"> (System do zarządzania badaniami klinicznymi)</w:t>
            </w:r>
          </w:p>
        </w:tc>
      </w:tr>
      <w:tr w:rsidR="00B55101" w:rsidRPr="008857AE" w14:paraId="2D1A21CB" w14:textId="77777777" w:rsidTr="10D47FC7">
        <w:tc>
          <w:tcPr>
            <w:tcW w:w="975" w:type="dxa"/>
            <w:gridSpan w:val="2"/>
          </w:tcPr>
          <w:p w14:paraId="02D2D7F8" w14:textId="05C8D55F" w:rsidR="00B55101" w:rsidRPr="006C170D" w:rsidRDefault="00E067B5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lastRenderedPageBreak/>
              <w:t>1.</w:t>
            </w:r>
          </w:p>
        </w:tc>
        <w:tc>
          <w:tcPr>
            <w:tcW w:w="8996" w:type="dxa"/>
          </w:tcPr>
          <w:p w14:paraId="456992D6" w14:textId="47A5EF0A" w:rsidR="005E7150" w:rsidRPr="006C170D" w:rsidRDefault="5CEE7FC9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Zarządzanie finansami w 3 wymiarach: Badanie, procedury</w:t>
            </w:r>
            <w:r w:rsidR="6B9FAB23" w:rsidRPr="10D47FC7">
              <w:rPr>
                <w:rFonts w:asciiTheme="minorHAnsi" w:hAnsiTheme="minorHAnsi" w:cstheme="minorBidi"/>
                <w:lang w:val="pl-PL"/>
              </w:rPr>
              <w:t xml:space="preserve"> (z podziałem na procedury NFZ oraz finansowane przez sponsora)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i uczestnicy. </w:t>
            </w:r>
          </w:p>
          <w:p w14:paraId="6DB3FDBD" w14:textId="57BB2FDF" w:rsidR="00B55101" w:rsidRPr="006C170D" w:rsidRDefault="00B55101" w:rsidP="10D47FC7">
            <w:pPr>
              <w:pStyle w:val="P68B1DB1-ListParagraph2"/>
              <w:ind w:left="643"/>
              <w:jc w:val="both"/>
              <w:rPr>
                <w:rFonts w:asciiTheme="minorHAnsi" w:hAnsiTheme="minorHAnsi" w:cstheme="minorBidi"/>
                <w:lang w:val="pl-PL"/>
              </w:rPr>
            </w:pPr>
          </w:p>
        </w:tc>
      </w:tr>
      <w:tr w:rsidR="00B55101" w:rsidRPr="008857AE" w14:paraId="2C5004CA" w14:textId="77777777" w:rsidTr="10D47FC7">
        <w:tc>
          <w:tcPr>
            <w:tcW w:w="975" w:type="dxa"/>
            <w:gridSpan w:val="2"/>
          </w:tcPr>
          <w:p w14:paraId="5E8F22F7" w14:textId="6E276D89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343D3CBE" w14:textId="13B46E05" w:rsidR="00B55101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Mapowanie kosztów w różnych stanach rozliczeń z możliwością dołączania faktur do każdego kosztu lub sumy kosztów.</w:t>
            </w:r>
          </w:p>
        </w:tc>
      </w:tr>
      <w:tr w:rsidR="00B55101" w:rsidRPr="008857AE" w14:paraId="1C44775B" w14:textId="77777777" w:rsidTr="10D47FC7">
        <w:tc>
          <w:tcPr>
            <w:tcW w:w="975" w:type="dxa"/>
            <w:gridSpan w:val="2"/>
          </w:tcPr>
          <w:p w14:paraId="14D482F7" w14:textId="22B33187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lang w:val="pl-PL"/>
              </w:rPr>
            </w:pPr>
            <w:r w:rsidRPr="10D47FC7">
              <w:rPr>
                <w:lang w:val="pl-PL"/>
              </w:rPr>
              <w:t>3.</w:t>
            </w:r>
          </w:p>
        </w:tc>
        <w:tc>
          <w:tcPr>
            <w:tcW w:w="8996" w:type="dxa"/>
          </w:tcPr>
          <w:p w14:paraId="37B0FF72" w14:textId="0408C438" w:rsidR="00B55101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Wizualizacja budżetu w trakcie badania.</w:t>
            </w:r>
          </w:p>
        </w:tc>
      </w:tr>
      <w:tr w:rsidR="00B55101" w:rsidRPr="008857AE" w14:paraId="6D556613" w14:textId="77777777" w:rsidTr="10D47FC7">
        <w:tc>
          <w:tcPr>
            <w:tcW w:w="975" w:type="dxa"/>
            <w:gridSpan w:val="2"/>
          </w:tcPr>
          <w:p w14:paraId="09A3A7B7" w14:textId="3C06B294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5E65E18B" w14:textId="1360CACB" w:rsidR="005E7150" w:rsidRPr="006C170D" w:rsidRDefault="5CEE7FC9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Uwzględnienie</w:t>
            </w:r>
            <w:r w:rsidR="7D4087B0" w:rsidRPr="10D47FC7">
              <w:rPr>
                <w:rFonts w:asciiTheme="minorHAnsi" w:hAnsiTheme="minorHAnsi" w:cstheme="minorBidi"/>
                <w:lang w:val="pl-PL"/>
              </w:rPr>
              <w:t xml:space="preserve"> indywidualnych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kosztów za wizytę/zabieg</w:t>
            </w:r>
            <w:r w:rsidR="3644F277" w:rsidRPr="10D47FC7">
              <w:rPr>
                <w:rFonts w:asciiTheme="minorHAnsi" w:hAnsiTheme="minorHAnsi" w:cstheme="minorBidi"/>
                <w:lang w:val="pl-PL"/>
              </w:rPr>
              <w:t xml:space="preserve"> w następującym zakresie:</w:t>
            </w:r>
          </w:p>
          <w:p w14:paraId="3126A6D2" w14:textId="639B357F" w:rsidR="005E7150" w:rsidRPr="006C170D" w:rsidRDefault="005E7150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</w:p>
          <w:p w14:paraId="0858DFAD" w14:textId="0C8CB504" w:rsidR="00B55101" w:rsidRPr="006C170D" w:rsidRDefault="534632A7" w:rsidP="10D47FC7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10D47FC7">
              <w:rPr>
                <w:lang w:val="pl-PL"/>
              </w:rPr>
              <w:t>wizyta,</w:t>
            </w:r>
          </w:p>
          <w:p w14:paraId="109F06BD" w14:textId="2C04A714" w:rsidR="00B55101" w:rsidRPr="006C170D" w:rsidRDefault="534632A7" w:rsidP="10D47FC7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10D47FC7">
              <w:rPr>
                <w:lang w:val="pl-PL"/>
              </w:rPr>
              <w:t>procedury wykonywane na wizycie,</w:t>
            </w:r>
          </w:p>
          <w:p w14:paraId="3C03F5BC" w14:textId="7D7CCD27" w:rsidR="00B55101" w:rsidRPr="006C170D" w:rsidRDefault="534632A7" w:rsidP="10D47FC7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10D47FC7">
              <w:rPr>
                <w:lang w:val="pl-PL"/>
              </w:rPr>
              <w:t>procedury dodatkowe,</w:t>
            </w:r>
          </w:p>
          <w:p w14:paraId="353FB38A" w14:textId="662BD4AA" w:rsidR="00B55101" w:rsidRPr="006C170D" w:rsidRDefault="534632A7" w:rsidP="10D47FC7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10D47FC7">
              <w:rPr>
                <w:lang w:val="pl-PL"/>
              </w:rPr>
              <w:t>opłaty start-up i administracyjne,</w:t>
            </w:r>
          </w:p>
          <w:p w14:paraId="6665E029" w14:textId="3081B0AE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5305A925" w14:textId="77777777" w:rsidTr="10D47FC7">
        <w:tc>
          <w:tcPr>
            <w:tcW w:w="975" w:type="dxa"/>
            <w:gridSpan w:val="2"/>
          </w:tcPr>
          <w:p w14:paraId="0039D74D" w14:textId="117AD822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8996" w:type="dxa"/>
          </w:tcPr>
          <w:p w14:paraId="7D331BC4" w14:textId="77777777" w:rsidR="004B11CA" w:rsidRPr="006C170D" w:rsidRDefault="004B11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Rejestrowanie wartości wydatków uczestników wraz z opisem i odpowiednią fakturą w formie cyfrowej. </w:t>
            </w:r>
          </w:p>
          <w:p w14:paraId="460543C5" w14:textId="5EE5EB7C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108F02C1" w14:textId="77777777" w:rsidTr="10D47FC7">
        <w:trPr>
          <w:trHeight w:val="264"/>
        </w:trPr>
        <w:tc>
          <w:tcPr>
            <w:tcW w:w="975" w:type="dxa"/>
            <w:gridSpan w:val="2"/>
          </w:tcPr>
          <w:p w14:paraId="1B36CABC" w14:textId="2396499B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8996" w:type="dxa"/>
          </w:tcPr>
          <w:p w14:paraId="3D77D491" w14:textId="77777777" w:rsidR="004B11CA" w:rsidRPr="006C170D" w:rsidRDefault="004B11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Raporty zawierające koszty jednostkowe i łączne na potrzeby zwrotu wydatków uczestników.</w:t>
            </w:r>
          </w:p>
          <w:p w14:paraId="200C3D0E" w14:textId="3587DF58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42F7AB1A" w14:textId="77777777" w:rsidTr="10D47FC7">
        <w:tc>
          <w:tcPr>
            <w:tcW w:w="975" w:type="dxa"/>
            <w:gridSpan w:val="2"/>
          </w:tcPr>
          <w:p w14:paraId="59695039" w14:textId="47D73BD1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8996" w:type="dxa"/>
          </w:tcPr>
          <w:p w14:paraId="39736FFF" w14:textId="77777777" w:rsidR="004B11CA" w:rsidRPr="006C170D" w:rsidRDefault="004B11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Ustalanie kryteriów podziału przychodów dla każdego badania.</w:t>
            </w:r>
          </w:p>
          <w:p w14:paraId="383777B2" w14:textId="38901101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63621E7E" w14:textId="77777777" w:rsidTr="10D47FC7">
        <w:tc>
          <w:tcPr>
            <w:tcW w:w="975" w:type="dxa"/>
            <w:gridSpan w:val="2"/>
          </w:tcPr>
          <w:p w14:paraId="326BCA34" w14:textId="499F0124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8996" w:type="dxa"/>
          </w:tcPr>
          <w:p w14:paraId="5216D0EA" w14:textId="77777777" w:rsidR="004B11CA" w:rsidRPr="006C170D" w:rsidRDefault="004B11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Raport przedstawiający podział przychodów według zdefiniowanych kryteriów, ze szczegółowym opisem budżetu pomiędzy zespołami badawczymi i innymi stronami, gdy ma to zastosowanie.</w:t>
            </w:r>
          </w:p>
          <w:p w14:paraId="6C390AD9" w14:textId="09E92BA2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044CB98E" w14:textId="77777777" w:rsidTr="10D47FC7">
        <w:tc>
          <w:tcPr>
            <w:tcW w:w="975" w:type="dxa"/>
            <w:gridSpan w:val="2"/>
          </w:tcPr>
          <w:p w14:paraId="4638A4C2" w14:textId="0A938FAE" w:rsidR="00B55101" w:rsidRPr="006C170D" w:rsidRDefault="00313AFF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lastRenderedPageBreak/>
              <w:t>9.</w:t>
            </w:r>
          </w:p>
        </w:tc>
        <w:tc>
          <w:tcPr>
            <w:tcW w:w="8996" w:type="dxa"/>
          </w:tcPr>
          <w:p w14:paraId="6A128D77" w14:textId="77777777" w:rsidR="004B11CA" w:rsidRPr="006C170D" w:rsidRDefault="004B11C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Panel umożliwiający monitorowanie w czasie rzeczywistym wskaźników przychodów i budżetu.</w:t>
            </w:r>
          </w:p>
          <w:p w14:paraId="06159047" w14:textId="513B9847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7613303" w:rsidRPr="008857AE" w14:paraId="258AD358" w14:textId="77777777" w:rsidTr="10D47FC7">
        <w:trPr>
          <w:trHeight w:val="300"/>
        </w:trPr>
        <w:tc>
          <w:tcPr>
            <w:tcW w:w="975" w:type="dxa"/>
            <w:gridSpan w:val="2"/>
          </w:tcPr>
          <w:p w14:paraId="4609D26E" w14:textId="64915E17" w:rsidR="390CF620" w:rsidRDefault="00A80971" w:rsidP="10D47FC7">
            <w:pPr>
              <w:spacing w:line="240" w:lineRule="auto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10.</w:t>
            </w:r>
          </w:p>
        </w:tc>
        <w:tc>
          <w:tcPr>
            <w:tcW w:w="8996" w:type="dxa"/>
          </w:tcPr>
          <w:p w14:paraId="6924DA9D" w14:textId="0F957B9C" w:rsidR="390CF620" w:rsidRDefault="2DE02CAF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być wyposażony w funkcję analizy zyskowności przyszłych badań, pozwalającą na przeprowadzenie symulacji kosztów po uwzględnieniu:</w:t>
            </w:r>
          </w:p>
          <w:p w14:paraId="5D59521A" w14:textId="28197D7D" w:rsidR="390CF620" w:rsidRPr="003F045A" w:rsidRDefault="2DE02CAF" w:rsidP="10D47FC7">
            <w:pPr>
              <w:pStyle w:val="P68B1DB1-ListParagraph2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wyceny usług zaproponowanej przez Sponsora,</w:t>
            </w:r>
          </w:p>
          <w:p w14:paraId="64E46C7A" w14:textId="35D305B7" w:rsidR="390CF620" w:rsidRPr="003F045A" w:rsidRDefault="2DE02CAF" w:rsidP="10D47FC7">
            <w:pPr>
              <w:pStyle w:val="P68B1DB1-ListParagraph2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wewnętrznych cenników usług, zdefiniowanych przez CWBK,</w:t>
            </w:r>
          </w:p>
          <w:p w14:paraId="20CF6676" w14:textId="3346B035" w:rsidR="390CF620" w:rsidRPr="003F045A" w:rsidRDefault="2DE02CAF" w:rsidP="10D47FC7">
            <w:pPr>
              <w:pStyle w:val="P68B1DB1-ListParagraph2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kosztów stałych, ponoszonych przez CWBK, zdefiniowanych w systemie,</w:t>
            </w:r>
          </w:p>
          <w:p w14:paraId="781CE47E" w14:textId="35CB8AB2" w:rsidR="390CF620" w:rsidRPr="003F045A" w:rsidRDefault="2DE02CAF" w:rsidP="10D47FC7">
            <w:pPr>
              <w:pStyle w:val="P68B1DB1-ListParagraph2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prawdopodobieństwa rekrutacji określonej liczby pacjentów do badania klinicznego.</w:t>
            </w:r>
          </w:p>
        </w:tc>
      </w:tr>
      <w:tr w:rsidR="07613303" w:rsidRPr="008857AE" w14:paraId="002B715E" w14:textId="77777777" w:rsidTr="10D47FC7">
        <w:trPr>
          <w:trHeight w:val="300"/>
        </w:trPr>
        <w:tc>
          <w:tcPr>
            <w:tcW w:w="975" w:type="dxa"/>
            <w:gridSpan w:val="2"/>
          </w:tcPr>
          <w:p w14:paraId="18FD5F74" w14:textId="37D397BC" w:rsidR="6B3AF7B1" w:rsidRDefault="00A80971" w:rsidP="10D47FC7">
            <w:pPr>
              <w:spacing w:line="240" w:lineRule="auto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11.</w:t>
            </w:r>
          </w:p>
        </w:tc>
        <w:tc>
          <w:tcPr>
            <w:tcW w:w="8996" w:type="dxa"/>
          </w:tcPr>
          <w:p w14:paraId="3A478CAC" w14:textId="658CB084" w:rsidR="6B3AF7B1" w:rsidRDefault="2A64F25D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umożliwiać</w:t>
            </w:r>
            <w:r w:rsidR="0D1CE276" w:rsidRPr="10D47FC7">
              <w:rPr>
                <w:rFonts w:asciiTheme="minorHAnsi" w:hAnsiTheme="minorHAnsi" w:cstheme="minorBidi"/>
                <w:lang w:val="pl-PL"/>
              </w:rPr>
              <w:t xml:space="preserve"> stworzenie oraz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przypisanie cennika do badania klinicznego.</w:t>
            </w:r>
          </w:p>
        </w:tc>
      </w:tr>
      <w:tr w:rsidR="00CC3D42" w:rsidRPr="008857AE" w14:paraId="0CF5D96D" w14:textId="77777777" w:rsidTr="10D47FC7">
        <w:tc>
          <w:tcPr>
            <w:tcW w:w="9971" w:type="dxa"/>
            <w:gridSpan w:val="3"/>
          </w:tcPr>
          <w:p w14:paraId="74469E74" w14:textId="402F8E70" w:rsidR="00CC3D42" w:rsidRPr="006C170D" w:rsidRDefault="6AD9877A" w:rsidP="10D47FC7">
            <w:pPr>
              <w:pStyle w:val="P68B1DB1-Heading38"/>
              <w:numPr>
                <w:ilvl w:val="0"/>
                <w:numId w:val="22"/>
              </w:numPr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  <w:r w:rsidRPr="10D47FC7">
              <w:rPr>
                <w:rFonts w:asciiTheme="minorHAnsi" w:eastAsiaTheme="minorEastAsia" w:hAnsiTheme="minorHAnsi" w:cstheme="minorBidi"/>
                <w:lang w:val="pl-PL"/>
              </w:rPr>
              <w:t>Wskaźniki (KPI), pulpity nawigacyjne i raporty</w:t>
            </w:r>
            <w:r w:rsidR="5F087266" w:rsidRPr="10D47FC7">
              <w:rPr>
                <w:rFonts w:asciiTheme="minorHAnsi" w:eastAsiaTheme="minorEastAsia" w:hAnsiTheme="minorHAnsi" w:cstheme="minorBidi"/>
                <w:lang w:val="pl-PL"/>
              </w:rPr>
              <w:t xml:space="preserve"> (System do zarządzania </w:t>
            </w:r>
            <w:r w:rsidR="004D1D7E" w:rsidRPr="10D47FC7">
              <w:rPr>
                <w:rFonts w:asciiTheme="minorHAnsi" w:eastAsiaTheme="minorEastAsia" w:hAnsiTheme="minorHAnsi" w:cstheme="minorBidi"/>
                <w:lang w:val="pl-PL"/>
              </w:rPr>
              <w:t>badaniami</w:t>
            </w:r>
            <w:r w:rsidR="5F087266" w:rsidRPr="10D47FC7">
              <w:rPr>
                <w:rFonts w:asciiTheme="minorHAnsi" w:eastAsiaTheme="minorEastAsia" w:hAnsiTheme="minorHAnsi" w:cstheme="minorBidi"/>
                <w:lang w:val="pl-PL"/>
              </w:rPr>
              <w:t xml:space="preserve"> klinicznymi)</w:t>
            </w:r>
            <w:r w:rsidRPr="10D47FC7">
              <w:rPr>
                <w:rFonts w:asciiTheme="minorHAnsi" w:eastAsiaTheme="minorEastAsia" w:hAnsiTheme="minorHAnsi" w:cstheme="minorBidi"/>
                <w:lang w:val="pl-PL"/>
              </w:rPr>
              <w:t>:</w:t>
            </w:r>
          </w:p>
          <w:p w14:paraId="0E19C060" w14:textId="764DBEFF" w:rsidR="00CC3D42" w:rsidRPr="006C170D" w:rsidRDefault="00CC3D42" w:rsidP="10D47FC7">
            <w:pPr>
              <w:rPr>
                <w:lang w:val="pl-PL"/>
              </w:rPr>
            </w:pPr>
          </w:p>
        </w:tc>
      </w:tr>
      <w:tr w:rsidR="00B55101" w:rsidRPr="008857AE" w14:paraId="11D793AD" w14:textId="77777777" w:rsidTr="10D47FC7">
        <w:tc>
          <w:tcPr>
            <w:tcW w:w="975" w:type="dxa"/>
            <w:gridSpan w:val="2"/>
          </w:tcPr>
          <w:p w14:paraId="4EA2E710" w14:textId="70B7B20A" w:rsidR="00B55101" w:rsidRPr="006C170D" w:rsidRDefault="00A70C6B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5A87410E" w14:textId="69B716D1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Różne poziomy dostępu umożliwiające konsultację, rejestrowanie i eksportowanie danych. </w:t>
            </w:r>
          </w:p>
        </w:tc>
      </w:tr>
      <w:tr w:rsidR="00B55101" w:rsidRPr="008857AE" w14:paraId="4F521A8A" w14:textId="77777777" w:rsidTr="10D47FC7">
        <w:tc>
          <w:tcPr>
            <w:tcW w:w="975" w:type="dxa"/>
            <w:gridSpan w:val="2"/>
          </w:tcPr>
          <w:p w14:paraId="58DF4EE4" w14:textId="0A147C2B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6EFF947F" w14:textId="77777777" w:rsidR="00CC3D42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Wizualizacja w czasie rzeczywistym wskaźników badania klinicznego (np. liczba uczestników, wypłacone środki, rozdzielone środki) z możliwością stosowania filtrów według dowolnej zmiennej (np. status badania, specjalizacja, badacz). </w:t>
            </w:r>
          </w:p>
          <w:p w14:paraId="09E27293" w14:textId="59E958F8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39E78003" w14:textId="77777777" w:rsidTr="10D47FC7">
        <w:tc>
          <w:tcPr>
            <w:tcW w:w="975" w:type="dxa"/>
            <w:gridSpan w:val="2"/>
          </w:tcPr>
          <w:p w14:paraId="32DF71B7" w14:textId="5416556B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  <w:p w14:paraId="1BD0EF42" w14:textId="1CC6F5A0" w:rsidR="00CC3D42" w:rsidRPr="006C170D" w:rsidRDefault="00CC3D42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397789A0" w14:textId="0351A3DB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Szablony pulpitów nawigacyjnych i raportów gotow</w:t>
            </w:r>
            <w:r w:rsidR="00876E3D" w:rsidRPr="10D47FC7">
              <w:rPr>
                <w:rFonts w:asciiTheme="minorHAnsi" w:hAnsiTheme="minorHAnsi" w:cstheme="minorBidi"/>
                <w:lang w:val="pl-PL"/>
              </w:rPr>
              <w:t>ych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do natychmiastowego użycia.</w:t>
            </w:r>
          </w:p>
        </w:tc>
      </w:tr>
      <w:tr w:rsidR="00B55101" w:rsidRPr="008857AE" w14:paraId="4484DCE8" w14:textId="77777777" w:rsidTr="10D47FC7">
        <w:tc>
          <w:tcPr>
            <w:tcW w:w="975" w:type="dxa"/>
            <w:gridSpan w:val="2"/>
          </w:tcPr>
          <w:p w14:paraId="0126D879" w14:textId="2F3363FC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</w:t>
            </w:r>
            <w:r w:rsidR="00CC3D42" w:rsidRPr="10D47FC7">
              <w:rPr>
                <w:color w:val="000000" w:themeColor="text1"/>
                <w:lang w:val="pl-PL"/>
              </w:rPr>
              <w:t>.</w:t>
            </w:r>
          </w:p>
        </w:tc>
        <w:tc>
          <w:tcPr>
            <w:tcW w:w="8996" w:type="dxa"/>
          </w:tcPr>
          <w:p w14:paraId="4A4B4437" w14:textId="469EAC64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Spersonalizowane pulpity nawigacyjne dla profili użytkowników i różnych badań, z dostępem opartym na poziomie autoryzacji.</w:t>
            </w:r>
          </w:p>
        </w:tc>
      </w:tr>
      <w:tr w:rsidR="00B55101" w:rsidRPr="008857AE" w14:paraId="1A23FE35" w14:textId="77777777" w:rsidTr="10D47FC7">
        <w:tc>
          <w:tcPr>
            <w:tcW w:w="975" w:type="dxa"/>
            <w:gridSpan w:val="2"/>
          </w:tcPr>
          <w:p w14:paraId="381B76F0" w14:textId="618F7EA8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5</w:t>
            </w:r>
            <w:r w:rsidR="00CC3D42" w:rsidRPr="10D47FC7">
              <w:rPr>
                <w:color w:val="000000" w:themeColor="text1"/>
                <w:lang w:val="pl-PL"/>
              </w:rPr>
              <w:t>.</w:t>
            </w:r>
          </w:p>
        </w:tc>
        <w:tc>
          <w:tcPr>
            <w:tcW w:w="8996" w:type="dxa"/>
          </w:tcPr>
          <w:p w14:paraId="10AEBA0B" w14:textId="6E07BB0F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Spersonalizowane raporty zawierające dowolne dane dostępne na platformie, w tym logo lub obrazy, do wglądu na platformie lub ekstrakcji w formatach PDF, CSV, XLS i </w:t>
            </w:r>
            <w:r w:rsidRPr="10D47FC7">
              <w:rPr>
                <w:rFonts w:asciiTheme="minorHAnsi" w:hAnsiTheme="minorHAnsi" w:cstheme="minorBidi"/>
                <w:lang w:val="pl-PL"/>
              </w:rPr>
              <w:lastRenderedPageBreak/>
              <w:t xml:space="preserve">XLSX (np. Raport Zwrotu Kosztów, Raport Kosztów Pokrytych, Raport Środków do Dystrybucji, Raport dla </w:t>
            </w:r>
            <w:r w:rsidR="003A0F1A" w:rsidRPr="10D47FC7">
              <w:rPr>
                <w:rFonts w:asciiTheme="minorHAnsi" w:hAnsiTheme="minorHAnsi" w:cstheme="minorBidi"/>
                <w:lang w:val="pl-PL"/>
              </w:rPr>
              <w:t>ABM</w:t>
            </w:r>
            <w:r w:rsidRPr="10D47FC7">
              <w:rPr>
                <w:rFonts w:asciiTheme="minorHAnsi" w:hAnsiTheme="minorHAnsi" w:cstheme="minorBidi"/>
                <w:lang w:val="pl-PL"/>
              </w:rPr>
              <w:t>).</w:t>
            </w:r>
          </w:p>
        </w:tc>
      </w:tr>
      <w:tr w:rsidR="00B55101" w:rsidRPr="008857AE" w14:paraId="6218AFBA" w14:textId="77777777" w:rsidTr="10D47FC7">
        <w:tc>
          <w:tcPr>
            <w:tcW w:w="975" w:type="dxa"/>
            <w:gridSpan w:val="2"/>
          </w:tcPr>
          <w:p w14:paraId="71DBF24B" w14:textId="58FAD124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lastRenderedPageBreak/>
              <w:t>6</w:t>
            </w:r>
            <w:r w:rsidR="00CC3D42" w:rsidRPr="10D47FC7">
              <w:rPr>
                <w:color w:val="000000" w:themeColor="text1"/>
                <w:lang w:val="pl-PL"/>
              </w:rPr>
              <w:t xml:space="preserve">. </w:t>
            </w:r>
          </w:p>
        </w:tc>
        <w:tc>
          <w:tcPr>
            <w:tcW w:w="8996" w:type="dxa"/>
          </w:tcPr>
          <w:p w14:paraId="1DEB2C8C" w14:textId="1512D592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Dostawca musi zapewnić opracowanie maksymalnie 5 spersonalizowanych pulpitów nawigacyjnych lub raportów (które zostaną zdefiniowane podczas wdrażania projektu). </w:t>
            </w:r>
          </w:p>
        </w:tc>
      </w:tr>
      <w:tr w:rsidR="00B55101" w:rsidRPr="008857AE" w14:paraId="60144DE1" w14:textId="77777777" w:rsidTr="10D47FC7">
        <w:tc>
          <w:tcPr>
            <w:tcW w:w="975" w:type="dxa"/>
            <w:gridSpan w:val="2"/>
          </w:tcPr>
          <w:p w14:paraId="681A6D9A" w14:textId="29363150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7</w:t>
            </w:r>
            <w:r w:rsidR="00CC3D42" w:rsidRPr="10D47FC7">
              <w:rPr>
                <w:color w:val="000000" w:themeColor="text1"/>
                <w:lang w:val="pl-PL"/>
              </w:rPr>
              <w:t>.</w:t>
            </w:r>
          </w:p>
        </w:tc>
        <w:tc>
          <w:tcPr>
            <w:tcW w:w="8996" w:type="dxa"/>
          </w:tcPr>
          <w:p w14:paraId="58EB9086" w14:textId="239E45CD" w:rsidR="00B55101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Dane mogą być ukryte lub pseudo</w:t>
            </w:r>
            <w:r w:rsidR="377CD430" w:rsidRPr="10D47FC7">
              <w:rPr>
                <w:rFonts w:asciiTheme="minorHAnsi" w:hAnsiTheme="minorHAnsi" w:cstheme="minorBidi"/>
                <w:lang w:val="pl-PL"/>
              </w:rPr>
              <w:t>a</w:t>
            </w:r>
            <w:r w:rsidRPr="10D47FC7">
              <w:rPr>
                <w:rFonts w:asciiTheme="minorHAnsi" w:hAnsiTheme="minorHAnsi" w:cstheme="minorBidi"/>
                <w:lang w:val="pl-PL"/>
              </w:rPr>
              <w:t>nimizowane, w zależności od profilu dostępu.</w:t>
            </w:r>
          </w:p>
        </w:tc>
      </w:tr>
      <w:tr w:rsidR="00B55101" w:rsidRPr="008857AE" w14:paraId="6F2595C3" w14:textId="77777777" w:rsidTr="10D47FC7">
        <w:tc>
          <w:tcPr>
            <w:tcW w:w="975" w:type="dxa"/>
            <w:gridSpan w:val="2"/>
          </w:tcPr>
          <w:p w14:paraId="05FC8B7B" w14:textId="1F0E9EBC" w:rsidR="00B55101" w:rsidRPr="006C170D" w:rsidRDefault="00304E4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8</w:t>
            </w:r>
            <w:r w:rsidR="00CC3D42" w:rsidRPr="10D47FC7">
              <w:rPr>
                <w:color w:val="000000" w:themeColor="text1"/>
                <w:lang w:val="pl-PL"/>
              </w:rPr>
              <w:t>.</w:t>
            </w:r>
          </w:p>
        </w:tc>
        <w:tc>
          <w:tcPr>
            <w:tcW w:w="8996" w:type="dxa"/>
          </w:tcPr>
          <w:p w14:paraId="092FEE35" w14:textId="48E3D7AC" w:rsidR="00CC3D42" w:rsidRPr="006C170D" w:rsidRDefault="00CC3D42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Ręczne przechwytywanie zagregowanych baz danych na platformie poprzez wybór zmiennych</w:t>
            </w:r>
            <w:r w:rsidR="00B12578" w:rsidRPr="10D47FC7">
              <w:rPr>
                <w:rFonts w:asciiTheme="minorHAnsi" w:hAnsiTheme="minorHAnsi" w:cstheme="minorBidi"/>
                <w:lang w:val="pl-PL"/>
              </w:rPr>
              <w:t xml:space="preserve"> do</w:t>
            </w:r>
            <w:r w:rsidR="44B716AC" w:rsidRPr="10D47FC7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Pr="10D47FC7">
              <w:rPr>
                <w:rFonts w:asciiTheme="minorHAnsi" w:hAnsiTheme="minorHAnsi" w:cstheme="minorBidi"/>
                <w:lang w:val="pl-PL"/>
              </w:rPr>
              <w:t>wyeksportowa</w:t>
            </w:r>
            <w:r w:rsidR="00B12578" w:rsidRPr="10D47FC7">
              <w:rPr>
                <w:rFonts w:asciiTheme="minorHAnsi" w:hAnsiTheme="minorHAnsi" w:cstheme="minorBidi"/>
                <w:lang w:val="pl-PL"/>
              </w:rPr>
              <w:t>nia</w:t>
            </w:r>
            <w:r w:rsidRPr="10D47FC7">
              <w:rPr>
                <w:rFonts w:asciiTheme="minorHAnsi" w:hAnsiTheme="minorHAnsi" w:cstheme="minorBidi"/>
                <w:lang w:val="pl-PL"/>
              </w:rPr>
              <w:t>, co pozwala na integrację tych baz danych z innymi wewnętrznymi narzędziami do analizy danych.</w:t>
            </w:r>
          </w:p>
          <w:p w14:paraId="447F9FE3" w14:textId="252F88F9" w:rsidR="00B55101" w:rsidRPr="006C170D" w:rsidRDefault="00B55101" w:rsidP="10D47FC7">
            <w:pPr>
              <w:tabs>
                <w:tab w:val="left" w:pos="7160"/>
              </w:tabs>
              <w:rPr>
                <w:lang w:val="pl-PL"/>
              </w:rPr>
            </w:pPr>
          </w:p>
        </w:tc>
      </w:tr>
      <w:tr w:rsidR="00B55101" w:rsidRPr="008857AE" w14:paraId="6B4D15F4" w14:textId="77777777" w:rsidTr="10D47FC7">
        <w:tc>
          <w:tcPr>
            <w:tcW w:w="9971" w:type="dxa"/>
            <w:gridSpan w:val="3"/>
          </w:tcPr>
          <w:p w14:paraId="0FEF52ED" w14:textId="4EC5E93C" w:rsidR="00B55101" w:rsidRPr="006C170D" w:rsidRDefault="00AB042A" w:rsidP="10D47FC7">
            <w:pPr>
              <w:pStyle w:val="P68B1DB1-Heading38"/>
              <w:numPr>
                <w:ilvl w:val="0"/>
                <w:numId w:val="22"/>
              </w:numPr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  <w:r w:rsidRPr="10D47FC7">
              <w:rPr>
                <w:rFonts w:asciiTheme="minorHAnsi" w:eastAsiaTheme="minorEastAsia" w:hAnsiTheme="minorHAnsi" w:cstheme="minorBidi"/>
                <w:lang w:val="pl-PL"/>
              </w:rPr>
              <w:t>Zarządzanie użytkownikami (badacze, koordynatorzy i inni):</w:t>
            </w:r>
          </w:p>
        </w:tc>
      </w:tr>
      <w:tr w:rsidR="00B55101" w:rsidRPr="008857AE" w14:paraId="492D125D" w14:textId="77777777" w:rsidTr="10D47FC7">
        <w:tc>
          <w:tcPr>
            <w:tcW w:w="975" w:type="dxa"/>
            <w:gridSpan w:val="2"/>
          </w:tcPr>
          <w:p w14:paraId="075012E7" w14:textId="77777777" w:rsidR="00B55101" w:rsidRPr="006C170D" w:rsidRDefault="00B55101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25F1D2B4" w14:textId="4FC30F47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Użytkownicy mogą korzystać z funkcji Single Si</w:t>
            </w:r>
            <w:r w:rsidR="5009A123" w:rsidRPr="10D47FC7">
              <w:rPr>
                <w:rFonts w:asciiTheme="minorHAnsi" w:hAnsiTheme="minorHAnsi" w:cstheme="minorBidi"/>
                <w:lang w:val="pl-PL"/>
              </w:rPr>
              <w:t>gn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-On. </w:t>
            </w:r>
          </w:p>
        </w:tc>
      </w:tr>
      <w:tr w:rsidR="00B55101" w:rsidRPr="008857AE" w14:paraId="004C785B" w14:textId="77777777" w:rsidTr="10D47FC7">
        <w:tc>
          <w:tcPr>
            <w:tcW w:w="975" w:type="dxa"/>
            <w:gridSpan w:val="2"/>
          </w:tcPr>
          <w:p w14:paraId="612664DB" w14:textId="77777777" w:rsidR="00B55101" w:rsidRPr="006C170D" w:rsidRDefault="00B55101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0B2B9232" w14:textId="77777777" w:rsidR="00DF4046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Rejestracja i aktualizacja danych użytkownika. </w:t>
            </w:r>
          </w:p>
          <w:p w14:paraId="18F8150E" w14:textId="5847FFA8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75E10AFA" w14:textId="77777777" w:rsidTr="10D47FC7">
        <w:tc>
          <w:tcPr>
            <w:tcW w:w="975" w:type="dxa"/>
            <w:gridSpan w:val="2"/>
          </w:tcPr>
          <w:p w14:paraId="10B1EC5D" w14:textId="77777777" w:rsidR="00B55101" w:rsidRPr="006C170D" w:rsidRDefault="00B55101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7FFF6DFE" w14:textId="57327DAE" w:rsidR="00DF4046" w:rsidRPr="006C170D" w:rsidRDefault="00B1257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Tworzenie </w:t>
            </w:r>
            <w:r w:rsidR="00DF4046" w:rsidRPr="10D47FC7">
              <w:rPr>
                <w:rFonts w:asciiTheme="minorHAnsi" w:hAnsiTheme="minorHAnsi" w:cstheme="minorBidi"/>
                <w:lang w:val="pl-PL"/>
              </w:rPr>
              <w:t xml:space="preserve">zespołów badawczych, z uwzględnieniem odpowiedniej grupy badaczy, a także wskazanie roli i okresu uczestnictwa w badaniu. </w:t>
            </w:r>
          </w:p>
          <w:p w14:paraId="14C57332" w14:textId="19FF4A50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0C377C46" w14:textId="77777777" w:rsidTr="10D47FC7">
        <w:tc>
          <w:tcPr>
            <w:tcW w:w="975" w:type="dxa"/>
            <w:gridSpan w:val="2"/>
          </w:tcPr>
          <w:p w14:paraId="556F0599" w14:textId="77777777" w:rsidR="00B55101" w:rsidRPr="006C170D" w:rsidRDefault="00B55101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3DF4D2C8" w14:textId="77777777" w:rsidR="00DF4046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Zarządzanie planem szkoleń i wydawanie certyfikatów za badania, w których uczestniczyli badacze.</w:t>
            </w:r>
          </w:p>
          <w:p w14:paraId="1F36967A" w14:textId="71D2AA23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DF4046" w:rsidRPr="008857AE" w14:paraId="4A645347" w14:textId="77777777" w:rsidTr="10D47FC7">
        <w:tc>
          <w:tcPr>
            <w:tcW w:w="9971" w:type="dxa"/>
            <w:gridSpan w:val="3"/>
          </w:tcPr>
          <w:p w14:paraId="7496706F" w14:textId="0C6CE8DC" w:rsidR="00DF4046" w:rsidRPr="003F045A" w:rsidRDefault="00DF4046" w:rsidP="10D47FC7">
            <w:pPr>
              <w:pStyle w:val="P68B1DB1-Heading38"/>
              <w:numPr>
                <w:ilvl w:val="0"/>
                <w:numId w:val="22"/>
              </w:numPr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</w:p>
        </w:tc>
      </w:tr>
      <w:tr w:rsidR="00B55101" w:rsidRPr="008857AE" w14:paraId="1322DC29" w14:textId="77777777" w:rsidTr="10D47FC7">
        <w:tc>
          <w:tcPr>
            <w:tcW w:w="975" w:type="dxa"/>
            <w:gridSpan w:val="2"/>
          </w:tcPr>
          <w:p w14:paraId="05DB9580" w14:textId="69951AE7" w:rsidR="00B55101" w:rsidRPr="006C170D" w:rsidRDefault="00CE082D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540306A5" w14:textId="327AB197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Integracja z innymi systemami informatycznymi w celu wykorzystania informacji o </w:t>
            </w:r>
            <w:r w:rsidR="00F0780E" w:rsidRPr="10D47FC7">
              <w:rPr>
                <w:rFonts w:asciiTheme="minorHAnsi" w:hAnsiTheme="minorHAnsi" w:cstheme="minorBidi"/>
                <w:lang w:val="pl-PL"/>
              </w:rPr>
              <w:t>uczestnikach</w:t>
            </w:r>
            <w:r w:rsidR="00882BFF" w:rsidRPr="10D47FC7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Pr="10D47FC7">
              <w:rPr>
                <w:rFonts w:asciiTheme="minorHAnsi" w:hAnsiTheme="minorHAnsi" w:cstheme="minorBidi"/>
                <w:lang w:val="pl-PL"/>
              </w:rPr>
              <w:t>już zarejestrowanych, unikając duplikowania rekordów.</w:t>
            </w:r>
          </w:p>
        </w:tc>
      </w:tr>
      <w:tr w:rsidR="00B55101" w:rsidRPr="00A63D10" w14:paraId="7E058BE0" w14:textId="77777777" w:rsidTr="10D47FC7">
        <w:tc>
          <w:tcPr>
            <w:tcW w:w="975" w:type="dxa"/>
            <w:gridSpan w:val="2"/>
          </w:tcPr>
          <w:p w14:paraId="3B64B9CE" w14:textId="6F07823D" w:rsidR="00B55101" w:rsidRPr="006C170D" w:rsidRDefault="00CE082D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lastRenderedPageBreak/>
              <w:t>2.</w:t>
            </w:r>
          </w:p>
        </w:tc>
        <w:tc>
          <w:tcPr>
            <w:tcW w:w="8996" w:type="dxa"/>
          </w:tcPr>
          <w:p w14:paraId="2238F46C" w14:textId="56009405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Wprowadzanie do platformy dodatkowych rekordów, które nie występują w systemach informatycznych, w formatach ustrukturyzowanych i nieustrukturyzowanych. </w:t>
            </w:r>
            <w:r w:rsidRPr="10D47FC7">
              <w:rPr>
                <w:rFonts w:asciiTheme="minorHAnsi" w:hAnsiTheme="minorHAnsi" w:cstheme="minorBidi"/>
              </w:rPr>
              <w:t>Rejestrowanie zdarzeń niepożądanych, odstępstw od protokołu i innych.</w:t>
            </w:r>
          </w:p>
        </w:tc>
      </w:tr>
      <w:tr w:rsidR="00B55101" w:rsidRPr="008857AE" w14:paraId="63F7AC3E" w14:textId="77777777" w:rsidTr="10D47FC7">
        <w:tc>
          <w:tcPr>
            <w:tcW w:w="975" w:type="dxa"/>
            <w:gridSpan w:val="2"/>
          </w:tcPr>
          <w:p w14:paraId="111D8B05" w14:textId="6801C68F" w:rsidR="00B55101" w:rsidRPr="006C170D" w:rsidRDefault="00CE082D" w:rsidP="10D47FC7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238D9DDA" w14:textId="044516BE" w:rsidR="00DF4046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Agregacja zarejestrowanych informacji w sposób zorientowany na uczestnika</w:t>
            </w:r>
            <w:r w:rsidR="005D3C8C" w:rsidRPr="10D47FC7">
              <w:rPr>
                <w:rFonts w:asciiTheme="minorHAnsi" w:hAnsiTheme="minorHAnsi" w:cstheme="minorBidi"/>
                <w:lang w:val="pl-PL"/>
              </w:rPr>
              <w:t>ch</w:t>
            </w:r>
            <w:r w:rsidRPr="10D47FC7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356AF9A3" w14:textId="777DA79B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4492BD17" w14:textId="77777777" w:rsidTr="10D47FC7">
        <w:tc>
          <w:tcPr>
            <w:tcW w:w="975" w:type="dxa"/>
            <w:gridSpan w:val="2"/>
          </w:tcPr>
          <w:p w14:paraId="2F97B20C" w14:textId="2EAAF0E8" w:rsidR="00B55101" w:rsidRPr="006C170D" w:rsidRDefault="00CE082D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0530F680" w14:textId="42DD3966" w:rsidR="00DF4046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Automatyczne przydzielanie członków zespołu, którzy zapewnili wizyty i </w:t>
            </w:r>
            <w:r w:rsidR="00F9485C" w:rsidRPr="10D47FC7">
              <w:rPr>
                <w:rFonts w:asciiTheme="minorHAnsi" w:hAnsiTheme="minorHAnsi" w:cstheme="minorBidi"/>
                <w:lang w:val="pl-PL"/>
              </w:rPr>
              <w:t xml:space="preserve">czynności </w:t>
            </w:r>
            <w:r w:rsidRPr="10D47FC7">
              <w:rPr>
                <w:rFonts w:asciiTheme="minorHAnsi" w:hAnsiTheme="minorHAnsi" w:cstheme="minorBidi"/>
                <w:lang w:val="pl-PL"/>
              </w:rPr>
              <w:t>wykonane na rzecz uczestnika, na podstawie ich pochodzenia wprowadzonego do systemów informatycznych instytucji.</w:t>
            </w:r>
          </w:p>
          <w:p w14:paraId="699642EF" w14:textId="23CF4326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20FB6506" w14:textId="77777777" w:rsidTr="10D47FC7">
        <w:tc>
          <w:tcPr>
            <w:tcW w:w="975" w:type="dxa"/>
            <w:gridSpan w:val="2"/>
          </w:tcPr>
          <w:p w14:paraId="4C6CF545" w14:textId="40ACB15B" w:rsidR="00B55101" w:rsidRPr="006C170D" w:rsidRDefault="00CE082D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8996" w:type="dxa"/>
          </w:tcPr>
          <w:p w14:paraId="3DD861E0" w14:textId="77777777" w:rsidR="00DF4046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Zarządzanie uczestnikami badania, monitorowanie ich wizyt i kontrola związanych z tym wydatków.</w:t>
            </w:r>
          </w:p>
          <w:p w14:paraId="0B0A30B6" w14:textId="02FD035F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B55101" w:rsidRPr="008857AE" w14:paraId="44ADEF33" w14:textId="77777777" w:rsidTr="10D47FC7">
        <w:tc>
          <w:tcPr>
            <w:tcW w:w="975" w:type="dxa"/>
            <w:gridSpan w:val="2"/>
          </w:tcPr>
          <w:p w14:paraId="675F65C7" w14:textId="11D42F34" w:rsidR="00B55101" w:rsidRPr="006C170D" w:rsidRDefault="00CE082D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8996" w:type="dxa"/>
          </w:tcPr>
          <w:p w14:paraId="3B2ABC9F" w14:textId="752A06B8" w:rsidR="00DF4046" w:rsidRPr="006C170D" w:rsidRDefault="7C14AD6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Panel do monitorowania różnych wskaźników powiązanych z uczestnikami (np.: Wizyty wykonane, Wizyty do wykonania).</w:t>
            </w:r>
          </w:p>
          <w:p w14:paraId="51D071E3" w14:textId="6995CE2B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DF4046" w:rsidRPr="00A63D10" w14:paraId="52320EAB" w14:textId="77777777" w:rsidTr="10D47FC7">
        <w:tc>
          <w:tcPr>
            <w:tcW w:w="9971" w:type="dxa"/>
            <w:gridSpan w:val="3"/>
          </w:tcPr>
          <w:p w14:paraId="249A656F" w14:textId="26079D66" w:rsidR="00DF4046" w:rsidRPr="006C170D" w:rsidRDefault="7C14AD61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t>Zarządzanie dokumentami</w:t>
            </w:r>
          </w:p>
        </w:tc>
      </w:tr>
      <w:tr w:rsidR="00B55101" w:rsidRPr="008857AE" w14:paraId="17BB6AE6" w14:textId="77777777" w:rsidTr="10D47FC7">
        <w:tc>
          <w:tcPr>
            <w:tcW w:w="975" w:type="dxa"/>
            <w:gridSpan w:val="2"/>
          </w:tcPr>
          <w:p w14:paraId="65698A90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1CF5AB5A" w14:textId="3C58FD33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Centralne zarządzanie wszystkimi dokumentami związanymi z badaniami i uczestnikami.</w:t>
            </w:r>
          </w:p>
        </w:tc>
      </w:tr>
      <w:tr w:rsidR="00B55101" w:rsidRPr="008857AE" w14:paraId="38642D90" w14:textId="77777777" w:rsidTr="10D47FC7">
        <w:tc>
          <w:tcPr>
            <w:tcW w:w="975" w:type="dxa"/>
            <w:gridSpan w:val="2"/>
          </w:tcPr>
          <w:p w14:paraId="0C00ACCF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434B3CB1" w14:textId="08A015D4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Przegląd i monitorowanie całej historii wersji w jednym miejscu.</w:t>
            </w:r>
          </w:p>
        </w:tc>
      </w:tr>
      <w:tr w:rsidR="00B55101" w:rsidRPr="00A63D10" w14:paraId="2692398F" w14:textId="77777777" w:rsidTr="10D47FC7">
        <w:tc>
          <w:tcPr>
            <w:tcW w:w="975" w:type="dxa"/>
            <w:gridSpan w:val="2"/>
          </w:tcPr>
          <w:p w14:paraId="02F42C29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6C4ED019" w14:textId="46C59E5C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Dołączanie dokumentów w różnych formatach (np. PDF, Word, XLM).</w:t>
            </w:r>
          </w:p>
        </w:tc>
      </w:tr>
      <w:tr w:rsidR="00B55101" w:rsidRPr="00A63D10" w14:paraId="2C22F1A9" w14:textId="77777777" w:rsidTr="10D47FC7">
        <w:tc>
          <w:tcPr>
            <w:tcW w:w="975" w:type="dxa"/>
            <w:gridSpan w:val="2"/>
          </w:tcPr>
          <w:p w14:paraId="52B6F1B3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4F633632" w14:textId="326EE0E7" w:rsidR="00B55101" w:rsidRPr="006C170D" w:rsidRDefault="70EA3AF5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</w:rPr>
              <w:t>Elektroniczny podpis dokumentów.</w:t>
            </w:r>
          </w:p>
        </w:tc>
      </w:tr>
      <w:tr w:rsidR="00B55101" w:rsidRPr="008857AE" w14:paraId="1295A5DD" w14:textId="77777777" w:rsidTr="10D47FC7">
        <w:tc>
          <w:tcPr>
            <w:tcW w:w="975" w:type="dxa"/>
            <w:gridSpan w:val="2"/>
          </w:tcPr>
          <w:p w14:paraId="539D9D89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60B17300" w14:textId="779A94AD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Dostęp do historii wersji dokumentu.</w:t>
            </w:r>
          </w:p>
        </w:tc>
      </w:tr>
      <w:tr w:rsidR="00B55101" w:rsidRPr="008857AE" w14:paraId="1AEF5563" w14:textId="77777777" w:rsidTr="10D47FC7">
        <w:tc>
          <w:tcPr>
            <w:tcW w:w="975" w:type="dxa"/>
            <w:gridSpan w:val="2"/>
          </w:tcPr>
          <w:p w14:paraId="1208C11E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74E5475B" w14:textId="62542C8A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Funkcjonalność TMF do rejestrowania dokumentacji testowej i przygotowywania się do inspekcji i audytów.</w:t>
            </w:r>
          </w:p>
        </w:tc>
      </w:tr>
      <w:tr w:rsidR="00B55101" w:rsidRPr="00A63D10" w14:paraId="1786217C" w14:textId="77777777" w:rsidTr="10D47FC7">
        <w:tc>
          <w:tcPr>
            <w:tcW w:w="975" w:type="dxa"/>
            <w:gridSpan w:val="2"/>
          </w:tcPr>
          <w:p w14:paraId="6AAB7D05" w14:textId="77777777" w:rsidR="00B55101" w:rsidRPr="006C170D" w:rsidRDefault="00B55101" w:rsidP="10D47FC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pacing w:after="0" w:line="240" w:lineRule="auto"/>
              <w:ind w:left="0" w:firstLine="0"/>
              <w:rPr>
                <w:color w:val="000000"/>
                <w:lang w:val="pl-PL"/>
              </w:rPr>
            </w:pPr>
          </w:p>
        </w:tc>
        <w:tc>
          <w:tcPr>
            <w:tcW w:w="8996" w:type="dxa"/>
          </w:tcPr>
          <w:p w14:paraId="4FE822A6" w14:textId="0FFD1AC7" w:rsidR="00B55101" w:rsidRPr="006C170D" w:rsidRDefault="00DF40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Funkcjonalność ISF w celu sporządzenia dokumentacji, która zapewni, że ośrodek badawczy i badacz przestrzegają wymogów regulacyjnych wytycznych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 xml:space="preserve"> Międzynarodowa Rada ds. Harmonizacji Dobrej Praktyki Klinicznej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(ICH GCP).</w:t>
            </w:r>
          </w:p>
        </w:tc>
      </w:tr>
      <w:tr w:rsidR="2DB55DC1" w:rsidRPr="008857AE" w14:paraId="381E0AE8" w14:textId="77777777" w:rsidTr="10D47FC7">
        <w:trPr>
          <w:trHeight w:val="300"/>
        </w:trPr>
        <w:tc>
          <w:tcPr>
            <w:tcW w:w="975" w:type="dxa"/>
            <w:gridSpan w:val="2"/>
          </w:tcPr>
          <w:p w14:paraId="100D7325" w14:textId="52361621" w:rsidR="2B8F11E2" w:rsidRDefault="00422B11" w:rsidP="10D47FC7">
            <w:pPr>
              <w:spacing w:line="240" w:lineRule="auto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8996" w:type="dxa"/>
          </w:tcPr>
          <w:p w14:paraId="7E9A9527" w14:textId="06082AC0" w:rsidR="082678BB" w:rsidRDefault="082678BB" w:rsidP="10D47FC7">
            <w:pPr>
              <w:pStyle w:val="P68B1DB1-ListParagraph2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Możliwość a</w:t>
            </w:r>
            <w:r w:rsidR="67FCB309" w:rsidRPr="10D47FC7">
              <w:rPr>
                <w:rFonts w:asciiTheme="minorHAnsi" w:hAnsiTheme="minorHAnsi" w:cstheme="minorBidi"/>
                <w:lang w:val="pl-PL"/>
              </w:rPr>
              <w:t>rchiwizacj</w:t>
            </w:r>
            <w:r w:rsidR="37D32901" w:rsidRPr="10D47FC7">
              <w:rPr>
                <w:rFonts w:asciiTheme="minorHAnsi" w:hAnsiTheme="minorHAnsi" w:cstheme="minorBidi"/>
                <w:lang w:val="pl-PL"/>
              </w:rPr>
              <w:t>i</w:t>
            </w:r>
            <w:r w:rsidR="67FCB309" w:rsidRPr="10D47FC7">
              <w:rPr>
                <w:rFonts w:asciiTheme="minorHAnsi" w:hAnsiTheme="minorHAnsi" w:cstheme="minorBidi"/>
                <w:lang w:val="pl-PL"/>
              </w:rPr>
              <w:t xml:space="preserve"> dokument</w:t>
            </w:r>
            <w:r w:rsidR="452F48A9" w:rsidRPr="10D47FC7">
              <w:rPr>
                <w:rFonts w:asciiTheme="minorHAnsi" w:hAnsiTheme="minorHAnsi" w:cstheme="minorBidi"/>
                <w:lang w:val="pl-PL"/>
              </w:rPr>
              <w:t>acji</w:t>
            </w:r>
            <w:r w:rsidR="67FCB309" w:rsidRPr="10D47FC7">
              <w:rPr>
                <w:rFonts w:asciiTheme="minorHAnsi" w:hAnsiTheme="minorHAnsi" w:cstheme="minorBidi"/>
                <w:lang w:val="pl-PL"/>
              </w:rPr>
              <w:t xml:space="preserve"> po zakończeniu badania klinicznego.</w:t>
            </w:r>
          </w:p>
        </w:tc>
      </w:tr>
      <w:tr w:rsidR="006B4F4A" w:rsidRPr="00A63D10" w14:paraId="46796B28" w14:textId="77777777" w:rsidTr="10D47FC7">
        <w:trPr>
          <w:gridBefore w:val="1"/>
          <w:wBefore w:w="48" w:type="dxa"/>
        </w:trPr>
        <w:tc>
          <w:tcPr>
            <w:tcW w:w="9923" w:type="dxa"/>
            <w:gridSpan w:val="2"/>
          </w:tcPr>
          <w:p w14:paraId="4C0A6960" w14:textId="1B888832" w:rsidR="006B4F4A" w:rsidRPr="006C170D" w:rsidRDefault="3489B68D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t xml:space="preserve">Zarządzanie </w:t>
            </w:r>
            <w:r w:rsidR="466B647A" w:rsidRPr="10D47FC7">
              <w:rPr>
                <w:lang w:val="pl-PL"/>
              </w:rPr>
              <w:t>zdarzeniami i zadaniami</w:t>
            </w:r>
          </w:p>
        </w:tc>
      </w:tr>
      <w:tr w:rsidR="00B55101" w:rsidRPr="008857AE" w14:paraId="484795B9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3B10AADC" w14:textId="4FACA868" w:rsidR="00B55101" w:rsidRPr="006C170D" w:rsidRDefault="00422B1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09777EC9" w14:textId="4F0554AB" w:rsidR="00B55101" w:rsidRPr="006C170D" w:rsidRDefault="006B4F4A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Panel, który agreguje wszystkie oczekujące zadania, a także nadchodzące zdarzenia.</w:t>
            </w:r>
          </w:p>
        </w:tc>
      </w:tr>
      <w:tr w:rsidR="00B55101" w:rsidRPr="008857AE" w14:paraId="595BD694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7D47B697" w14:textId="6081FE75" w:rsidR="00B55101" w:rsidRPr="006C170D" w:rsidRDefault="00422B11" w:rsidP="10D47FC7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4334BDA2" w14:textId="6F8E8306" w:rsidR="00B55101" w:rsidRPr="006C170D" w:rsidRDefault="000E672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Tworzenie prywatnych lub publicznych zadań i wydarzeń w ramach badania.</w:t>
            </w:r>
          </w:p>
        </w:tc>
      </w:tr>
      <w:tr w:rsidR="00B55101" w:rsidRPr="00A63D10" w14:paraId="0AB356F0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3343C6BB" w14:textId="59FF4EF1" w:rsidR="00B55101" w:rsidRPr="006C170D" w:rsidRDefault="00422B1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4A2BBB0A" w14:textId="7FA62DC5" w:rsidR="00B55101" w:rsidRPr="006C170D" w:rsidRDefault="000E672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Definiowanie i zarządzanie zadaniami i wydarzeniami, z ustalaniem terminów, wyznaczaniem osób odpowiedzialnych, priorytetów, załączaniem plików, wprowadzaniem dodatkowych opisów i umieszczaniem linków. W stosownych przypadkach należy wskazać użytkownika, którego dotyczy zadanie.</w:t>
            </w:r>
          </w:p>
        </w:tc>
      </w:tr>
      <w:tr w:rsidR="00B55101" w:rsidRPr="008857AE" w14:paraId="008FA51A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1D1AE2AC" w14:textId="42681A3F" w:rsidR="00B55101" w:rsidRPr="006C170D" w:rsidRDefault="00422B11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2B769DC7" w14:textId="2F4DB878" w:rsidR="00B55101" w:rsidRPr="006C170D" w:rsidRDefault="000E672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Planowanie wydarzeń w kalendarzu </w:t>
            </w:r>
            <w:r w:rsidR="0A14C946" w:rsidRPr="10D47FC7">
              <w:rPr>
                <w:rFonts w:asciiTheme="minorHAnsi" w:hAnsiTheme="minorHAnsi" w:cstheme="minorBidi"/>
                <w:lang w:val="pl-PL"/>
              </w:rPr>
              <w:t>badań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z możliwością definiowania ich powtarzalności.</w:t>
            </w:r>
          </w:p>
        </w:tc>
      </w:tr>
      <w:tr w:rsidR="000E6728" w:rsidRPr="00A63D10" w14:paraId="3FB95560" w14:textId="77777777" w:rsidTr="10D47FC7">
        <w:trPr>
          <w:gridBefore w:val="1"/>
          <w:wBefore w:w="48" w:type="dxa"/>
          <w:trHeight w:val="683"/>
        </w:trPr>
        <w:tc>
          <w:tcPr>
            <w:tcW w:w="9923" w:type="dxa"/>
            <w:gridSpan w:val="2"/>
          </w:tcPr>
          <w:p w14:paraId="7EE559F7" w14:textId="0E1DED8F" w:rsidR="000E6728" w:rsidRPr="006C170D" w:rsidRDefault="00C64831" w:rsidP="10D47FC7">
            <w:pPr>
              <w:pStyle w:val="Akapitzlist"/>
              <w:numPr>
                <w:ilvl w:val="0"/>
                <w:numId w:val="22"/>
              </w:numPr>
              <w:tabs>
                <w:tab w:val="left" w:pos="1248"/>
                <w:tab w:val="left" w:pos="3648"/>
              </w:tabs>
              <w:rPr>
                <w:lang w:val="pl-PL"/>
              </w:rPr>
            </w:pPr>
            <w:r w:rsidRPr="10D47FC7">
              <w:rPr>
                <w:lang w:val="pl-PL"/>
              </w:rPr>
              <w:t>System alertów i powiadomień</w:t>
            </w:r>
          </w:p>
        </w:tc>
      </w:tr>
      <w:tr w:rsidR="00B55101" w:rsidRPr="008857AE" w14:paraId="733361B3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440D10AD" w14:textId="75603902" w:rsidR="00B55101" w:rsidRPr="006C170D" w:rsidRDefault="00422B11" w:rsidP="10D47FC7">
            <w:pPr>
              <w:tabs>
                <w:tab w:val="left" w:pos="360"/>
              </w:tabs>
            </w:pPr>
            <w:r w:rsidRPr="10D47FC7">
              <w:t>1.</w:t>
            </w:r>
          </w:p>
        </w:tc>
        <w:tc>
          <w:tcPr>
            <w:tcW w:w="8996" w:type="dxa"/>
          </w:tcPr>
          <w:p w14:paraId="2F0BCFE5" w14:textId="5683265B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Panel wyświetlania, który wyświetla listę otrzymanych powiadomień, z bezpośrednim dostępem do szczegółów, umożliwiający zarządzanie i monitorowanie liczby oczekujących powiadomień, niezależnie od tego, czy pochodzą one z badań, czy z samej platformy (np. aktualizacje funkcjonalne).</w:t>
            </w:r>
          </w:p>
        </w:tc>
      </w:tr>
      <w:tr w:rsidR="00B55101" w:rsidRPr="008857AE" w14:paraId="4B7A71DF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1538043E" w14:textId="0777FAF7" w:rsidR="00B55101" w:rsidRPr="006C170D" w:rsidRDefault="00422B11" w:rsidP="10D47FC7">
            <w:pPr>
              <w:tabs>
                <w:tab w:val="left" w:pos="360"/>
              </w:tabs>
            </w:pPr>
            <w:r w:rsidRPr="10D47FC7">
              <w:t>2</w:t>
            </w:r>
            <w:r w:rsidR="00B55101" w:rsidRPr="10D47FC7">
              <w:t>.</w:t>
            </w:r>
          </w:p>
        </w:tc>
        <w:tc>
          <w:tcPr>
            <w:tcW w:w="8996" w:type="dxa"/>
          </w:tcPr>
          <w:p w14:paraId="6CCB39EF" w14:textId="4D384E86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Powiadomienia można wysyłać do innych użytkowników platformy lub za pośrednictwem poczty e-mail ze zdefiniowanych zadań lub zdarzeń, a nawet z cyfrowych procesów skonfigurowanych na platformie.</w:t>
            </w:r>
          </w:p>
        </w:tc>
      </w:tr>
      <w:tr w:rsidR="00B55101" w:rsidRPr="008857AE" w14:paraId="4645B729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336F4F28" w14:textId="20E38550" w:rsidR="00B55101" w:rsidRPr="006C170D" w:rsidRDefault="00422B11" w:rsidP="10D47FC7">
            <w:pPr>
              <w:tabs>
                <w:tab w:val="left" w:pos="360"/>
              </w:tabs>
            </w:pPr>
            <w:r w:rsidRPr="10D47FC7">
              <w:t>3</w:t>
            </w:r>
            <w:r w:rsidR="00B55101" w:rsidRPr="10D47FC7">
              <w:t>.</w:t>
            </w:r>
          </w:p>
        </w:tc>
        <w:tc>
          <w:tcPr>
            <w:tcW w:w="8996" w:type="dxa"/>
          </w:tcPr>
          <w:p w14:paraId="0F302D47" w14:textId="4509A698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Przykłady powiadomień: Brak eCRF; Brak załącznika faktury do pozycji kosztów; Brak wizyty nr 2 zaplanowanej dla pacjenta X; Brak zwrotu kosztów dla uczestnika Y; Brak </w:t>
            </w:r>
            <w:r w:rsidRPr="10D47FC7">
              <w:rPr>
                <w:rFonts w:asciiTheme="minorHAnsi" w:hAnsiTheme="minorHAnsi" w:cstheme="minorBidi"/>
                <w:lang w:val="pl-PL"/>
              </w:rPr>
              <w:lastRenderedPageBreak/>
              <w:t>faktury wysłanej do promotora; Certyfikat lub szkolenie wygasa dnia DD/MM/RRRR; i inne.</w:t>
            </w:r>
          </w:p>
        </w:tc>
      </w:tr>
      <w:tr w:rsidR="00B55101" w:rsidRPr="00A63D10" w14:paraId="7377F1FD" w14:textId="77777777" w:rsidTr="10D47FC7">
        <w:trPr>
          <w:gridBefore w:val="1"/>
          <w:wBefore w:w="48" w:type="dxa"/>
          <w:trHeight w:val="200"/>
        </w:trPr>
        <w:tc>
          <w:tcPr>
            <w:tcW w:w="9923" w:type="dxa"/>
            <w:gridSpan w:val="2"/>
          </w:tcPr>
          <w:p w14:paraId="7B908CD6" w14:textId="29833623" w:rsidR="00B55101" w:rsidRPr="006C170D" w:rsidRDefault="00C64831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lastRenderedPageBreak/>
              <w:t>Administracja i kontrola dostępu</w:t>
            </w:r>
          </w:p>
        </w:tc>
      </w:tr>
      <w:tr w:rsidR="00B55101" w:rsidRPr="00A63D10" w14:paraId="57A9D9F1" w14:textId="77777777" w:rsidTr="10D47FC7">
        <w:trPr>
          <w:gridBefore w:val="1"/>
          <w:wBefore w:w="48" w:type="dxa"/>
          <w:trHeight w:val="1266"/>
        </w:trPr>
        <w:tc>
          <w:tcPr>
            <w:tcW w:w="927" w:type="dxa"/>
          </w:tcPr>
          <w:p w14:paraId="5B8B67AD" w14:textId="79DDCC1D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566E11B3" w14:textId="38B55636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Konfiguracja i tworzenie profili użytkowników, umożliwiających zdefiniowanie funkcji, do których każdy profil będzie miał dostęp. </w:t>
            </w:r>
            <w:r w:rsidRPr="10D47FC7">
              <w:rPr>
                <w:rFonts w:asciiTheme="minorHAnsi" w:hAnsiTheme="minorHAnsi" w:cstheme="minorBidi"/>
              </w:rPr>
              <w:t>Możliwość przypisania jednemu użytkownikowi jednego lub więcej profili</w:t>
            </w:r>
            <w:r w:rsidR="00322FD8" w:rsidRPr="10D47FC7">
              <w:rPr>
                <w:rFonts w:asciiTheme="minorHAnsi" w:hAnsiTheme="minorHAnsi" w:cstheme="minorBidi"/>
              </w:rPr>
              <w:t>.</w:t>
            </w:r>
          </w:p>
        </w:tc>
      </w:tr>
      <w:tr w:rsidR="00B55101" w:rsidRPr="008857AE" w14:paraId="641777A6" w14:textId="77777777" w:rsidTr="10D47FC7">
        <w:trPr>
          <w:gridBefore w:val="1"/>
          <w:wBefore w:w="48" w:type="dxa"/>
          <w:trHeight w:val="699"/>
        </w:trPr>
        <w:tc>
          <w:tcPr>
            <w:tcW w:w="927" w:type="dxa"/>
          </w:tcPr>
          <w:p w14:paraId="2A1ACB31" w14:textId="39CBBE83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3F3EB7A1" w14:textId="6A9401FB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Konfiguracja profilu każdego użytkownika pod kątem konkretnego badania, zapewniająca dostosowanie uprawnień dostępu do unikalnych wymagań i protokołów każdego badania.</w:t>
            </w:r>
          </w:p>
        </w:tc>
      </w:tr>
      <w:tr w:rsidR="00B55101" w:rsidRPr="008857AE" w14:paraId="3E292707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7356052D" w14:textId="657CF91E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0BEDD5A1" w14:textId="6EC064AE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Definicja poziomów dostępu oraz uprawnień do przeglądania i edycji dla każdego pola, przypisywana indywidualnie każdemu użytkownikowi, zgodnie ze specyficznymi potrzebami danego badania.</w:t>
            </w:r>
          </w:p>
        </w:tc>
      </w:tr>
      <w:tr w:rsidR="00B55101" w:rsidRPr="008857AE" w14:paraId="68761FEA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4BCB1175" w14:textId="389C6057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5977EAC3" w14:textId="2F5A5AF4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Możliwość udzielania lub ograniczania użytkownikom dostępu do określonych badań i funkcji platformy na podstawie przypisanych ról.</w:t>
            </w:r>
          </w:p>
        </w:tc>
      </w:tr>
      <w:tr w:rsidR="00B55101" w:rsidRPr="008857AE" w14:paraId="658EE7A2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16B3557D" w14:textId="26709E62" w:rsidR="00B55101" w:rsidRPr="006C170D" w:rsidRDefault="00241508" w:rsidP="10D47FC7">
            <w:pPr>
              <w:tabs>
                <w:tab w:val="left" w:pos="360"/>
              </w:tabs>
              <w:rPr>
                <w:color w:val="000000"/>
              </w:rPr>
            </w:pPr>
            <w:r w:rsidRPr="10D47FC7">
              <w:rPr>
                <w:color w:val="000000" w:themeColor="text1"/>
              </w:rPr>
              <w:t>5.</w:t>
            </w:r>
          </w:p>
        </w:tc>
        <w:tc>
          <w:tcPr>
            <w:tcW w:w="8996" w:type="dxa"/>
          </w:tcPr>
          <w:p w14:paraId="71E47CA6" w14:textId="0699F6AA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Integracja z SSO (Single Sign-On) poprzez Active Directory, obejmująca możliwość tworzenia zewnętrznego dostępu do instytucji dla pracowników zewnętrznych, z uwierzytelnianiem za pomocą nazwy użytkownika i hasła.</w:t>
            </w:r>
          </w:p>
        </w:tc>
      </w:tr>
      <w:tr w:rsidR="00B55101" w:rsidRPr="008857AE" w14:paraId="7F037CB6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36593175" w14:textId="3139B488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8996" w:type="dxa"/>
          </w:tcPr>
          <w:p w14:paraId="4603132D" w14:textId="6387998E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Określanie złożoności hasła i zasad jego odnawiania.</w:t>
            </w:r>
          </w:p>
        </w:tc>
      </w:tr>
      <w:tr w:rsidR="00B55101" w:rsidRPr="00A63D10" w14:paraId="21596271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43D44A61" w14:textId="454F4C95" w:rsidR="00B55101" w:rsidRPr="006C170D" w:rsidRDefault="00241508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8996" w:type="dxa"/>
          </w:tcPr>
          <w:p w14:paraId="3CDA64CA" w14:textId="746E07C3" w:rsidR="00B55101" w:rsidRPr="006C170D" w:rsidRDefault="00C64831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</w:rPr>
              <w:t>Zarządzanie nieudanymi próbami logowania.</w:t>
            </w:r>
          </w:p>
        </w:tc>
      </w:tr>
      <w:tr w:rsidR="00CB09E5" w:rsidRPr="00A63D10" w14:paraId="2025D65F" w14:textId="77777777" w:rsidTr="10D47FC7">
        <w:trPr>
          <w:gridBefore w:val="1"/>
          <w:wBefore w:w="48" w:type="dxa"/>
        </w:trPr>
        <w:tc>
          <w:tcPr>
            <w:tcW w:w="9923" w:type="dxa"/>
            <w:gridSpan w:val="2"/>
          </w:tcPr>
          <w:p w14:paraId="260B721F" w14:textId="41EA35F0" w:rsidR="00CB09E5" w:rsidRPr="006C170D" w:rsidRDefault="00CB09E5" w:rsidP="10D47FC7">
            <w:pPr>
              <w:pStyle w:val="Akapitzlist"/>
              <w:numPr>
                <w:ilvl w:val="0"/>
                <w:numId w:val="22"/>
              </w:numPr>
              <w:rPr>
                <w:lang w:val="pl-PL"/>
              </w:rPr>
            </w:pPr>
            <w:r w:rsidRPr="10D47FC7">
              <w:rPr>
                <w:lang w:val="pl-PL"/>
              </w:rPr>
              <w:t>D</w:t>
            </w:r>
            <w:r w:rsidR="008A1E38" w:rsidRPr="10D47FC7">
              <w:rPr>
                <w:lang w:val="pl-PL"/>
              </w:rPr>
              <w:t>igitalizacja procesów</w:t>
            </w:r>
          </w:p>
        </w:tc>
      </w:tr>
      <w:tr w:rsidR="00B55101" w:rsidRPr="008857AE" w14:paraId="34EEC66B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669DBC72" w14:textId="7AB6D7D5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4C535B9F" w14:textId="18FE7F9C" w:rsidR="00B55101" w:rsidRPr="006C170D" w:rsidRDefault="00CB09E5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Uwzględnienie kryteriów procesu (np. wykonanie zadania, czasy reakcji między zadaniami, osoba odpowiedzialna za zadanie).</w:t>
            </w:r>
          </w:p>
        </w:tc>
      </w:tr>
      <w:tr w:rsidR="00B55101" w:rsidRPr="008857AE" w14:paraId="5664E8CB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473EC0AD" w14:textId="6BCB17F1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3DBEA8F7" w14:textId="644264EC" w:rsidR="00B55101" w:rsidRPr="006C170D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Orkiestracja pomiędzy różnymi użytkownikami lub stronami zaangażowanymi.</w:t>
            </w:r>
          </w:p>
        </w:tc>
      </w:tr>
      <w:tr w:rsidR="00B55101" w:rsidRPr="008857AE" w14:paraId="39435C0E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78438BEF" w14:textId="70B29BE3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525C4802" w14:textId="31649680" w:rsidR="00B55101" w:rsidRPr="006C170D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Alarmowanie za pomocą powiadomień lub wiadomości e-mail.</w:t>
            </w:r>
          </w:p>
        </w:tc>
      </w:tr>
      <w:tr w:rsidR="00B55101" w:rsidRPr="00A63D10" w14:paraId="690A70EE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682F4B11" w14:textId="5B824D8D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8996" w:type="dxa"/>
          </w:tcPr>
          <w:p w14:paraId="795FBE0A" w14:textId="142DCE12" w:rsidR="00B55101" w:rsidRPr="006C170D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</w:rPr>
              <w:t>Monitorowanie procesów.</w:t>
            </w:r>
          </w:p>
        </w:tc>
      </w:tr>
      <w:tr w:rsidR="008A1E38" w:rsidRPr="008857AE" w14:paraId="556EF8F1" w14:textId="77777777" w:rsidTr="10D47FC7">
        <w:trPr>
          <w:gridBefore w:val="1"/>
          <w:wBefore w:w="48" w:type="dxa"/>
        </w:trPr>
        <w:tc>
          <w:tcPr>
            <w:tcW w:w="9923" w:type="dxa"/>
            <w:gridSpan w:val="2"/>
          </w:tcPr>
          <w:p w14:paraId="3C66F919" w14:textId="5353ABAB" w:rsidR="008A1E38" w:rsidRPr="006C170D" w:rsidRDefault="008A1E38" w:rsidP="10D47FC7">
            <w:pPr>
              <w:pStyle w:val="Akapitzlist"/>
              <w:numPr>
                <w:ilvl w:val="0"/>
                <w:numId w:val="22"/>
              </w:numPr>
              <w:tabs>
                <w:tab w:val="left" w:pos="1512"/>
              </w:tabs>
              <w:rPr>
                <w:lang w:val="pl-PL"/>
              </w:rPr>
            </w:pPr>
            <w:r w:rsidRPr="10D47FC7">
              <w:rPr>
                <w:lang w:val="pl-PL"/>
              </w:rPr>
              <w:t>Wspólny model danych skoncentrowany na uczestnikach</w:t>
            </w:r>
          </w:p>
        </w:tc>
      </w:tr>
      <w:tr w:rsidR="00B55101" w:rsidRPr="008857AE" w14:paraId="32452870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1D510C9F" w14:textId="43F7D0DA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495DE5C9" w14:textId="7A3491B1" w:rsidR="00B55101" w:rsidRPr="006C170D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Baza danych musi gromadzić dane z systemów informatycznych zintegrowanych z platformą oraz dane zarejestrowane na platformie.</w:t>
            </w:r>
          </w:p>
        </w:tc>
      </w:tr>
      <w:tr w:rsidR="00B55101" w:rsidRPr="008857AE" w14:paraId="6BE4F90B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222D110E" w14:textId="0D10325A" w:rsidR="00B55101" w:rsidRPr="00F265BE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35F3FAB0" w14:textId="7D091B71" w:rsidR="00B55101" w:rsidRPr="00612528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Różne rodzaje danych skoncentrowanych na uczestnikach: Użytkownik, Odcinki, Harmonogramy, Wyniki badań laboratoryjnyc</w:t>
            </w:r>
            <w:r w:rsidR="00612528" w:rsidRPr="10D47FC7">
              <w:rPr>
                <w:rFonts w:asciiTheme="minorHAnsi" w:hAnsiTheme="minorHAnsi" w:cstheme="minorBidi"/>
                <w:lang w:val="pl-PL"/>
              </w:rPr>
              <w:t>h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Działania niepożądane i inne.</w:t>
            </w:r>
          </w:p>
        </w:tc>
      </w:tr>
      <w:tr w:rsidR="00B55101" w:rsidRPr="008857AE" w14:paraId="33589BCC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4A33034C" w14:textId="5D9B024B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22124E75" w14:textId="3568FE45" w:rsidR="00B55101" w:rsidRPr="006C170D" w:rsidRDefault="008A1E38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 xml:space="preserve">Ekstrakcja bazy danych z informacjami należycie zanonimizowanymi i zgrupowanymi, jeśli ma to zastosowanie, w celu uzupełnienia eCRF badania klinicznego lub przeprowadzenia badań obserwacyjnych, za zgodą uczestników. </w:t>
            </w:r>
          </w:p>
        </w:tc>
      </w:tr>
      <w:tr w:rsidR="008A1E38" w:rsidRPr="00A63D10" w14:paraId="4EE23810" w14:textId="77777777" w:rsidTr="10D47FC7">
        <w:trPr>
          <w:gridBefore w:val="1"/>
          <w:wBefore w:w="48" w:type="dxa"/>
        </w:trPr>
        <w:tc>
          <w:tcPr>
            <w:tcW w:w="9923" w:type="dxa"/>
            <w:gridSpan w:val="2"/>
          </w:tcPr>
          <w:p w14:paraId="4972A9A0" w14:textId="57BED17A" w:rsidR="008A1E38" w:rsidRPr="006C170D" w:rsidRDefault="00EC01EE" w:rsidP="10D47FC7">
            <w:pPr>
              <w:pStyle w:val="Akapitzlist"/>
              <w:numPr>
                <w:ilvl w:val="0"/>
                <w:numId w:val="22"/>
              </w:numPr>
              <w:tabs>
                <w:tab w:val="left" w:pos="1512"/>
              </w:tabs>
              <w:rPr>
                <w:lang w:val="pl-PL"/>
              </w:rPr>
            </w:pPr>
            <w:r w:rsidRPr="10D47FC7">
              <w:rPr>
                <w:lang w:val="pl-PL"/>
              </w:rPr>
              <w:t>Informacje audytowe</w:t>
            </w:r>
          </w:p>
        </w:tc>
      </w:tr>
      <w:tr w:rsidR="00B55101" w:rsidRPr="008857AE" w14:paraId="7EC618EB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578DAEF4" w14:textId="3FB1D0AD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8996" w:type="dxa"/>
          </w:tcPr>
          <w:p w14:paraId="7D1A8DFD" w14:textId="1CD8AC81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gwarantujący pełną możliwość śledzenia i audytu danych, do których uzyskano dostęp lub które zmieniono na platformie.</w:t>
            </w:r>
          </w:p>
        </w:tc>
      </w:tr>
      <w:tr w:rsidR="00B55101" w:rsidRPr="008857AE" w14:paraId="1620415B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10B6F2E0" w14:textId="0517235D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8996" w:type="dxa"/>
          </w:tcPr>
          <w:p w14:paraId="55902675" w14:textId="2F022A8E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Automatycznie generowany znacznik czasu zdarzenia dla każdej zmiany, rejestrujący dokładną datę i godzinę wprowadzenia modyfikacji</w:t>
            </w:r>
          </w:p>
        </w:tc>
      </w:tr>
      <w:tr w:rsidR="00B55101" w:rsidRPr="008857AE" w14:paraId="4FC60B59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6E77F448" w14:textId="6619178F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8996" w:type="dxa"/>
          </w:tcPr>
          <w:p w14:paraId="0AE35F27" w14:textId="1612BE14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Identyfikacja konkretnego rekordu i pola, w którym wprowadzono zmiany.</w:t>
            </w:r>
          </w:p>
        </w:tc>
      </w:tr>
      <w:tr w:rsidR="00B55101" w:rsidRPr="008857AE" w14:paraId="5D5DA3F9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7BAE274D" w14:textId="3853A09B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4.</w:t>
            </w:r>
          </w:p>
        </w:tc>
        <w:tc>
          <w:tcPr>
            <w:tcW w:w="8996" w:type="dxa"/>
          </w:tcPr>
          <w:p w14:paraId="6326AA3C" w14:textId="6EB9E264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Rodzaj zmiany, ze wskazaniem, czy była to zmiana, modyfikacja czy usunięcie.</w:t>
            </w:r>
          </w:p>
        </w:tc>
      </w:tr>
      <w:tr w:rsidR="00B55101" w:rsidRPr="008857AE" w14:paraId="5584CFD7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6C68820A" w14:textId="5FE23DFE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8996" w:type="dxa"/>
          </w:tcPr>
          <w:p w14:paraId="005199C5" w14:textId="5E5B1C25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Identyfikacja użytkownika, który dokonał zmiany.</w:t>
            </w:r>
          </w:p>
        </w:tc>
      </w:tr>
      <w:tr w:rsidR="00B55101" w:rsidRPr="008857AE" w14:paraId="6B1E45D9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63264A90" w14:textId="52729B09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8996" w:type="dxa"/>
          </w:tcPr>
          <w:p w14:paraId="4F076E46" w14:textId="04E6E320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Powód zmiany odnotowany w sposób uporządkowany.</w:t>
            </w:r>
          </w:p>
        </w:tc>
      </w:tr>
      <w:tr w:rsidR="00B55101" w:rsidRPr="008857AE" w14:paraId="3F8181BF" w14:textId="77777777" w:rsidTr="10D47FC7">
        <w:trPr>
          <w:gridBefore w:val="1"/>
          <w:wBefore w:w="48" w:type="dxa"/>
        </w:trPr>
        <w:tc>
          <w:tcPr>
            <w:tcW w:w="927" w:type="dxa"/>
          </w:tcPr>
          <w:p w14:paraId="036A8E8C" w14:textId="624F88D2" w:rsidR="00B55101" w:rsidRPr="006C170D" w:rsidRDefault="00B82F2E" w:rsidP="10D47FC7">
            <w:pPr>
              <w:tabs>
                <w:tab w:val="left" w:pos="360"/>
              </w:tabs>
              <w:suppressAutoHyphens/>
              <w:spacing w:after="0" w:line="240" w:lineRule="auto"/>
              <w:rPr>
                <w:color w:val="000000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8996" w:type="dxa"/>
          </w:tcPr>
          <w:p w14:paraId="29EB35F3" w14:textId="4347E7D6" w:rsidR="00B55101" w:rsidRPr="006C170D" w:rsidRDefault="00EC01EE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Oryginalna zawartość pola przed zmianą.</w:t>
            </w:r>
          </w:p>
        </w:tc>
      </w:tr>
      <w:tr w:rsidR="00B55101" w:rsidRPr="00A63D10" w14:paraId="56CE9A59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c>
          <w:tcPr>
            <w:tcW w:w="9971" w:type="dxa"/>
            <w:gridSpan w:val="3"/>
          </w:tcPr>
          <w:p w14:paraId="665B4763" w14:textId="3D20FA64" w:rsidR="00B55101" w:rsidRPr="006C170D" w:rsidRDefault="000D231D" w:rsidP="10D47FC7">
            <w:pPr>
              <w:pStyle w:val="Akapitzlist"/>
              <w:numPr>
                <w:ilvl w:val="0"/>
                <w:numId w:val="22"/>
              </w:numPr>
              <w:rPr>
                <w:b/>
                <w:bCs/>
                <w:lang w:val="pl-PL"/>
              </w:rPr>
            </w:pPr>
            <w:r w:rsidRPr="10D47FC7">
              <w:rPr>
                <w:b/>
                <w:bCs/>
                <w:lang w:val="pl-PL"/>
              </w:rPr>
              <w:t>Funkcjonalność modułu Feasibility</w:t>
            </w:r>
          </w:p>
        </w:tc>
      </w:tr>
      <w:tr w:rsidR="00B55101" w:rsidRPr="008857AE" w14:paraId="3630D148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579"/>
        </w:trPr>
        <w:tc>
          <w:tcPr>
            <w:tcW w:w="975" w:type="dxa"/>
            <w:gridSpan w:val="2"/>
          </w:tcPr>
          <w:p w14:paraId="4F042C10" w14:textId="2976193B" w:rsidR="00B55101" w:rsidRPr="006C170D" w:rsidRDefault="00B82F2E" w:rsidP="10D47FC7">
            <w:r w:rsidRPr="10D47FC7">
              <w:lastRenderedPageBreak/>
              <w:t>1.</w:t>
            </w:r>
            <w:r w:rsidR="00B55101" w:rsidRPr="10D47FC7">
              <w:t xml:space="preserve">        </w:t>
            </w:r>
          </w:p>
        </w:tc>
        <w:tc>
          <w:tcPr>
            <w:tcW w:w="8996" w:type="dxa"/>
          </w:tcPr>
          <w:p w14:paraId="34A1B598" w14:textId="77777777" w:rsidR="00941487" w:rsidRPr="006C170D" w:rsidRDefault="00941487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powinien umożliwiać konstruowanie zaawansowanych wyszukiwań poprzez intuicyjny interfejs, ze wsparciem dla:</w:t>
            </w:r>
          </w:p>
          <w:p w14:paraId="3AC053D2" w14:textId="77777777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Połączenie wielu filtrów logicznych z operatorami Boole'a (AND / OR / NOT);</w:t>
            </w:r>
          </w:p>
          <w:p w14:paraId="7F5C83B0" w14:textId="4D507A48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Definiowanie warunków za pomocą operatorów relacyjnych (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>równy</w:t>
            </w:r>
            <w:r w:rsidRPr="10D47FC7">
              <w:rPr>
                <w:rFonts w:asciiTheme="minorHAnsi" w:hAnsiTheme="minorHAnsi" w:cstheme="minorBidi"/>
                <w:lang w:val="pl-PL"/>
              </w:rPr>
              <w:t>,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 xml:space="preserve"> inny niż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,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 xml:space="preserve"> zawiera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,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 xml:space="preserve"> większy niż/mniejszy niż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,</w:t>
            </w:r>
            <w:r w:rsidRPr="10D47FC7">
              <w:rPr>
                <w:rFonts w:asciiTheme="minorHAnsi" w:hAnsiTheme="minorHAnsi" w:cstheme="minorBidi"/>
                <w:i/>
                <w:iCs/>
                <w:lang w:val="pl-PL"/>
              </w:rPr>
              <w:t xml:space="preserve"> między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itp.);</w:t>
            </w:r>
          </w:p>
          <w:p w14:paraId="1B35066E" w14:textId="77777777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Wyszukiwanie według cech demograficznych (np. wieku, płci, miejsca zamieszkania);</w:t>
            </w:r>
          </w:p>
          <w:p w14:paraId="5C445771" w14:textId="77777777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Wyszukaj zmienne kliniczne (np. diagnozy, stany kliniczne, wyniki badań, leczenie);</w:t>
            </w:r>
          </w:p>
          <w:p w14:paraId="44DB6DB5" w14:textId="77777777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Filtry według danych laboratoryjnych lub próbki (rodzaj, stan, data pobrania, lokalizacja);</w:t>
            </w:r>
          </w:p>
          <w:p w14:paraId="310C828F" w14:textId="77777777" w:rsidR="00941487" w:rsidRPr="006C170D" w:rsidRDefault="00941487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Odstępy czasowe (np. pacjenci z wizytami pomiędzy dwiema datami lub z wynikami badań laboratoryjnych w ciągu ostatnich 6 miesięcy);</w:t>
            </w:r>
          </w:p>
          <w:p w14:paraId="47F97E91" w14:textId="77777777" w:rsidR="00941487" w:rsidRPr="006C170D" w:rsidRDefault="2FF23014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Prezentacja wyników w formie tabeli i z możliwością eksportu (CSV/Excel).</w:t>
            </w:r>
          </w:p>
          <w:p w14:paraId="47473136" w14:textId="1E8062D1" w:rsidR="0E6D09A0" w:rsidRDefault="442AA1EF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ma umożliwiać pobieranie danych z systemu HIS Zamawiającego w zakresie wszystkich zdarzeń medycznych (w tym historycznych).</w:t>
            </w:r>
          </w:p>
          <w:p w14:paraId="0949F805" w14:textId="34412E52" w:rsidR="4E4ABB4B" w:rsidRDefault="426FE242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być wyposażony w mechanizm czytelnego, graficznego tworzenia i modyfikacji kwerend oraz formy raportowania wyników wyszukiwania pacjentów bez konieczności pisania skryptów przez użytkownika.</w:t>
            </w:r>
          </w:p>
          <w:p w14:paraId="17538DE8" w14:textId="734A12CB" w:rsidR="4E4ABB4B" w:rsidRDefault="426FE242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umożliwiać dodanie notatki opisowej do utworzonego zapytania.</w:t>
            </w:r>
          </w:p>
          <w:p w14:paraId="0D52C051" w14:textId="39FDC463" w:rsidR="4AC5A690" w:rsidRDefault="365EC923" w:rsidP="10D47FC7">
            <w:pPr>
              <w:pStyle w:val="P68B1DB1-ListParagraph2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musi umożliwiać prowadzenie katalogu personelu i innych osób zaangażowanych w prowadzenie badania klinicznego/projektu badawczego (per  protokół) w zakresie nie mniejszym niż:</w:t>
            </w:r>
          </w:p>
          <w:p w14:paraId="7A1CC746" w14:textId="1D0F3794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imię i nazwisko,</w:t>
            </w:r>
          </w:p>
          <w:p w14:paraId="666D74A8" w14:textId="2C508E4B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CV,</w:t>
            </w:r>
          </w:p>
          <w:p w14:paraId="5AD9CC47" w14:textId="1B05C4EB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certyfikat GCP,</w:t>
            </w:r>
          </w:p>
          <w:p w14:paraId="52A931A4" w14:textId="763965FA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lastRenderedPageBreak/>
              <w:t>inne certyfikaty,</w:t>
            </w:r>
          </w:p>
          <w:p w14:paraId="765EE2FA" w14:textId="37DA1312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szkolenia,</w:t>
            </w:r>
          </w:p>
          <w:p w14:paraId="7E2005BE" w14:textId="6389577A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stanowisko / funkcja w ramach badania klinicznego/ projektu badawczego ze wskazaniem obszaru terapeutycznego, fazy badania klinicznego oraz czasu trwania badania klinicznego/projektu badawczego,</w:t>
            </w:r>
          </w:p>
          <w:p w14:paraId="16A50183" w14:textId="0F4FC5D3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stanowisko/funkcja w organizacji</w:t>
            </w:r>
          </w:p>
          <w:p w14:paraId="1E2559FF" w14:textId="0849A251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specjalizacja,</w:t>
            </w:r>
          </w:p>
          <w:p w14:paraId="23B5E78E" w14:textId="0AC29522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skan zobowiązania do zachowania poufności oraz klauzule RODO,</w:t>
            </w:r>
          </w:p>
          <w:p w14:paraId="36200E2D" w14:textId="679527C4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informowanie o zbliżającym się terminie wygaśnięcia dat ważności dokumentów (np. certyfikatów GCP, IATA, MAYO).</w:t>
            </w:r>
          </w:p>
          <w:p w14:paraId="1CD9D0E0" w14:textId="02664083" w:rsidR="4AC5A690" w:rsidRDefault="365EC923" w:rsidP="10D47FC7">
            <w:pPr>
              <w:pStyle w:val="Akapitzlist"/>
              <w:numPr>
                <w:ilvl w:val="0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System musi umożliwiać prowadzenie katalogu sprzętów, zasobów i materiałów w tym dostarczonych przez Sponsora i przypisanie ich do określonego Protokołu BK (Umowy) w zakresie nie mniejszym niż:</w:t>
            </w:r>
          </w:p>
          <w:p w14:paraId="22F84374" w14:textId="5A0629E1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nazwa,</w:t>
            </w:r>
          </w:p>
          <w:p w14:paraId="2A436E9C" w14:textId="0B95A349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typ,</w:t>
            </w:r>
          </w:p>
          <w:p w14:paraId="6C9A00B4" w14:textId="5D5D23CC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miejsce przechowywania,</w:t>
            </w:r>
          </w:p>
          <w:p w14:paraId="5A6FB084" w14:textId="261C096A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data produkcji,</w:t>
            </w:r>
          </w:p>
          <w:p w14:paraId="397F661F" w14:textId="505089F9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producent,</w:t>
            </w:r>
          </w:p>
          <w:p w14:paraId="7ACB596A" w14:textId="1D280DBB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nr seryjny,</w:t>
            </w:r>
          </w:p>
          <w:p w14:paraId="2F6EBEE5" w14:textId="2F1172FD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paszport techniczny/certyfikaty/przegląd (data wystawienia, data ważności),</w:t>
            </w:r>
          </w:p>
          <w:p w14:paraId="49F1ACB9" w14:textId="0AC60E85" w:rsidR="4AC5A690" w:rsidRDefault="365EC923" w:rsidP="10D47FC7">
            <w:pPr>
              <w:pStyle w:val="Akapitzlist"/>
              <w:numPr>
                <w:ilvl w:val="1"/>
                <w:numId w:val="17"/>
              </w:numPr>
              <w:rPr>
                <w:lang w:val="pl-PL"/>
              </w:rPr>
            </w:pPr>
            <w:r w:rsidRPr="10D47FC7">
              <w:rPr>
                <w:lang w:val="pl-PL"/>
              </w:rPr>
              <w:t>informowanie o zbliżającym się terminie wygaśnięcia terminu ważności dokumentów t. j. przeglądy techniczne, certyfikaty</w:t>
            </w:r>
          </w:p>
          <w:p w14:paraId="32E5D533" w14:textId="1C32921C" w:rsidR="00B55101" w:rsidRPr="006C170D" w:rsidRDefault="00B55101" w:rsidP="10D47FC7">
            <w:pPr>
              <w:rPr>
                <w:lang w:val="pl-PL"/>
              </w:rPr>
            </w:pPr>
          </w:p>
        </w:tc>
      </w:tr>
      <w:tr w:rsidR="007D035E" w:rsidRPr="00A63D10" w14:paraId="1036046C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971" w:type="dxa"/>
            <w:gridSpan w:val="3"/>
          </w:tcPr>
          <w:p w14:paraId="7E6F55A8" w14:textId="1491BBBB" w:rsidR="007D035E" w:rsidRPr="006C170D" w:rsidRDefault="37AA71D4" w:rsidP="10D47FC7">
            <w:pPr>
              <w:pStyle w:val="Akapitzlist"/>
              <w:numPr>
                <w:ilvl w:val="0"/>
                <w:numId w:val="22"/>
              </w:numPr>
            </w:pPr>
            <w:r w:rsidRPr="10D47FC7">
              <w:lastRenderedPageBreak/>
              <w:t>Infr</w:t>
            </w:r>
            <w:r w:rsidR="279651E7" w:rsidRPr="10D47FC7">
              <w:t>astruktura I integracja</w:t>
            </w:r>
            <w:r w:rsidR="3B321995" w:rsidRPr="10D47FC7">
              <w:t xml:space="preserve"> </w:t>
            </w:r>
          </w:p>
        </w:tc>
      </w:tr>
      <w:tr w:rsidR="00B55101" w:rsidRPr="008857AE" w14:paraId="3DC15836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5" w:type="dxa"/>
            <w:gridSpan w:val="2"/>
          </w:tcPr>
          <w:p w14:paraId="0354566A" w14:textId="32B2C826" w:rsidR="00B55101" w:rsidRPr="006C170D" w:rsidRDefault="00B82F2E" w:rsidP="10D47FC7">
            <w:r w:rsidRPr="10D47FC7">
              <w:t>1.</w:t>
            </w:r>
            <w:r w:rsidR="00B55101" w:rsidRPr="10D47FC7">
              <w:t xml:space="preserve">        </w:t>
            </w:r>
          </w:p>
        </w:tc>
        <w:tc>
          <w:tcPr>
            <w:tcW w:w="8996" w:type="dxa"/>
          </w:tcPr>
          <w:p w14:paraId="6EB0ACBD" w14:textId="16FCD5E7" w:rsidR="002F609A" w:rsidRDefault="00675420" w:rsidP="10D47FC7">
            <w:pPr>
              <w:pStyle w:val="P68B1DB1-ListParagraph2"/>
              <w:ind w:left="0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System powinien umożliwiać integrację z system</w:t>
            </w:r>
            <w:r w:rsidR="002F609A" w:rsidRPr="10D47FC7">
              <w:rPr>
                <w:rFonts w:asciiTheme="minorHAnsi" w:hAnsiTheme="minorHAnsi" w:cstheme="minorBidi"/>
                <w:lang w:val="pl-PL"/>
              </w:rPr>
              <w:t>em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HIS Zamawiającego</w:t>
            </w:r>
            <w:r w:rsidR="002F609A" w:rsidRPr="10D47FC7">
              <w:rPr>
                <w:rFonts w:asciiTheme="minorHAnsi" w:hAnsiTheme="minorHAnsi" w:cstheme="minorBidi"/>
                <w:lang w:val="pl-PL"/>
              </w:rPr>
              <w:t>.</w:t>
            </w:r>
          </w:p>
          <w:p w14:paraId="5583D64E" w14:textId="371A405B" w:rsidR="00B55101" w:rsidRPr="003A1F75" w:rsidRDefault="00675420" w:rsidP="10D47FC7">
            <w:pPr>
              <w:pStyle w:val="P68B1DB1-ListParagraph2"/>
              <w:ind w:left="0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Integracja powinna być realizowana z wykorzystaniem otwartych standardów wymiany danych, w szczególności HL7</w:t>
            </w:r>
            <w:r w:rsidR="00D56B93" w:rsidRPr="10D47FC7">
              <w:rPr>
                <w:rFonts w:asciiTheme="minorHAnsi" w:hAnsiTheme="minorHAnsi" w:cstheme="minorBidi"/>
                <w:lang w:val="pl-PL"/>
              </w:rPr>
              <w:t>,</w:t>
            </w:r>
            <w:r w:rsidRPr="10D47FC7">
              <w:rPr>
                <w:rFonts w:asciiTheme="minorHAnsi" w:hAnsiTheme="minorHAnsi" w:cstheme="minorBidi"/>
                <w:lang w:val="pl-PL"/>
              </w:rPr>
              <w:t xml:space="preserve"> a także poprzez udostępnione interfejsy API </w:t>
            </w:r>
            <w:r w:rsidRPr="10D47FC7">
              <w:rPr>
                <w:rFonts w:asciiTheme="minorHAnsi" w:hAnsiTheme="minorHAnsi" w:cstheme="minorBidi"/>
                <w:lang w:val="pl-PL"/>
              </w:rPr>
              <w:lastRenderedPageBreak/>
              <w:t>zgodnie z dokumentacją dostarczoną przez Zamawiającego lub dostawców systemów źródłowych.</w:t>
            </w:r>
            <w:r>
              <w:br/>
            </w:r>
            <w:r w:rsidRPr="10D47FC7">
              <w:rPr>
                <w:rFonts w:asciiTheme="minorHAnsi" w:hAnsiTheme="minorHAnsi" w:cstheme="minorBidi"/>
                <w:lang w:val="pl-PL"/>
              </w:rPr>
              <w:t>System powinien obsługiwać mechanizmy uwierzytelniania i autoryzacji zgodne z wymaganiami bezpieczeństwa</w:t>
            </w:r>
            <w:r w:rsidR="00D56B93" w:rsidRPr="10D47FC7">
              <w:rPr>
                <w:rFonts w:asciiTheme="minorHAnsi" w:hAnsiTheme="minorHAnsi" w:cstheme="minorBidi"/>
                <w:lang w:val="pl-PL"/>
              </w:rPr>
              <w:t xml:space="preserve"> </w:t>
            </w:r>
            <w:r w:rsidRPr="10D47FC7">
              <w:rPr>
                <w:rFonts w:asciiTheme="minorHAnsi" w:hAnsiTheme="minorHAnsi" w:cstheme="minorBidi"/>
                <w:lang w:val="pl-PL"/>
              </w:rPr>
              <w:t>oraz zapewniać możliwość monitorowania i logowania operacji integracyjnych. W przypadku braku zgodności systemów źródłowych z wymaganymi standardami, Wykonawca powinien wskazać rozwiązania umożliwiające realizację integracji w sposób bezpieczny i zgodny z OPZ.”</w:t>
            </w:r>
            <w:r>
              <w:br/>
            </w:r>
            <w:r w:rsidR="003A1F75" w:rsidRPr="10D47FC7">
              <w:rPr>
                <w:rFonts w:asciiTheme="minorHAnsi" w:hAnsiTheme="minorHAnsi" w:cstheme="minorBidi"/>
                <w:lang w:val="pl-PL"/>
              </w:rPr>
              <w:t>Alternatywnie dopuszcza się zastosowanie integracji poprzez widoki bazodanowe w trybie tylko do odczytu, z kontrolowanymi procedurami składowanymi i pełnym audytem zapytań. Możliwe jest również wykorzystanie mechanizmów ETL realizowanych wsadowo z użyciem bezpiecznych kanałów transmisji, takich jak SFTP, z walidacją i kontrolą integralności danych. W sytuacjach wymagających wymiany zdarzeń w czasie rzeczywistym dopuszcza się integrację opartą na brokerze komunikatów, zapewniając szyfrowanie i kontrolę dostępu. W przypadku braku innych możliwości, tymczasowym rozwiązaniem może być wykorzystanie technologii RPA do odczytu lub wprowadzania danych poprzez interfejs użytkownika, przy zachowaniu zasad bezpieczeństwa i monitorowania operacji. Wszystkie metody integracji muszą być objęte mechanizmami uwierzytelniania, autoryzacji, szyfrowania transmisji oraz centralnym logowaniem i monitorowaniem.</w:t>
            </w:r>
          </w:p>
        </w:tc>
      </w:tr>
      <w:tr w:rsidR="00B55101" w:rsidRPr="008857AE" w14:paraId="3DF9EBDD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5" w:type="dxa"/>
            <w:gridSpan w:val="2"/>
          </w:tcPr>
          <w:p w14:paraId="22428DBA" w14:textId="04B7A00A" w:rsidR="00B55101" w:rsidRPr="006C170D" w:rsidRDefault="00B82F2E" w:rsidP="10D47FC7">
            <w:r w:rsidRPr="10D47FC7">
              <w:lastRenderedPageBreak/>
              <w:t>2.</w:t>
            </w:r>
            <w:r w:rsidR="00B55101" w:rsidRPr="10D47FC7">
              <w:t xml:space="preserve">       </w:t>
            </w:r>
          </w:p>
        </w:tc>
        <w:tc>
          <w:tcPr>
            <w:tcW w:w="8996" w:type="dxa"/>
          </w:tcPr>
          <w:p w14:paraId="6E43E6CB" w14:textId="54471E82" w:rsidR="00B55101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Należy wziąć pod uwagę co najmniej dwa środowiska: produkcyjne i testowe.</w:t>
            </w:r>
          </w:p>
        </w:tc>
      </w:tr>
      <w:tr w:rsidR="00B55101" w:rsidRPr="008857AE" w14:paraId="40D9791E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5" w:type="dxa"/>
            <w:gridSpan w:val="2"/>
          </w:tcPr>
          <w:p w14:paraId="37DA4957" w14:textId="32097479" w:rsidR="00B55101" w:rsidRPr="006C170D" w:rsidRDefault="00B82F2E" w:rsidP="10D47FC7">
            <w:r w:rsidRPr="10D47FC7">
              <w:t>3</w:t>
            </w:r>
            <w:r w:rsidR="00B55101" w:rsidRPr="10D47FC7">
              <w:t xml:space="preserve">.        </w:t>
            </w:r>
          </w:p>
        </w:tc>
        <w:tc>
          <w:tcPr>
            <w:tcW w:w="8996" w:type="dxa"/>
          </w:tcPr>
          <w:p w14:paraId="4C3C5018" w14:textId="42108426" w:rsidR="00B55101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Platforma musi posiadać mechanizmy integracyjne umożliwiające bezpieczną i automatyczną komunikację z istniejącymi systemami szpitalnymi, koncentrując się na ustrukturyzowanym gromadzeniu danych użytkowników, epizodów klinicznych, wizyt i wyników uzupełniających metod diagnostycznych.</w:t>
            </w:r>
          </w:p>
        </w:tc>
      </w:tr>
      <w:tr w:rsidR="00B55101" w:rsidRPr="008857AE" w14:paraId="38BA06EC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5" w:type="dxa"/>
            <w:gridSpan w:val="2"/>
          </w:tcPr>
          <w:p w14:paraId="720849EA" w14:textId="5B51EE39" w:rsidR="00B55101" w:rsidRPr="006C170D" w:rsidRDefault="00B82F2E" w:rsidP="10D47FC7">
            <w:r w:rsidRPr="10D47FC7">
              <w:t>4</w:t>
            </w:r>
            <w:r w:rsidR="00B55101" w:rsidRPr="10D47FC7">
              <w:t xml:space="preserve">.        </w:t>
            </w:r>
          </w:p>
        </w:tc>
        <w:tc>
          <w:tcPr>
            <w:tcW w:w="8996" w:type="dxa"/>
          </w:tcPr>
          <w:p w14:paraId="4D0D5BA4" w14:textId="77777777" w:rsidR="002B5346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</w:rPr>
            </w:pPr>
            <w:r w:rsidRPr="10D47FC7">
              <w:rPr>
                <w:rFonts w:asciiTheme="minorHAnsi" w:hAnsiTheme="minorHAnsi" w:cstheme="minorBidi"/>
              </w:rPr>
              <w:t>Obsługiwane interfejsy:</w:t>
            </w:r>
          </w:p>
          <w:p w14:paraId="148187A9" w14:textId="77777777" w:rsidR="002B5346" w:rsidRPr="006C170D" w:rsidRDefault="002B5346" w:rsidP="10D47FC7">
            <w:pPr>
              <w:pStyle w:val="P68B1DB1-NormalWeb9"/>
              <w:numPr>
                <w:ilvl w:val="0"/>
                <w:numId w:val="14"/>
              </w:numPr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  <w:r w:rsidRPr="10D47FC7">
              <w:rPr>
                <w:rFonts w:asciiTheme="minorHAnsi" w:eastAsiaTheme="minorEastAsia" w:hAnsiTheme="minorHAnsi" w:cstheme="minorBidi"/>
                <w:lang w:val="pl-PL"/>
              </w:rPr>
              <w:t>Protokół HL7 (v2. x lub FHIR) – obsługiwane są co najmniej następujące wiadomości: ADT, ORU, ORM i SIU (HL7 v2);</w:t>
            </w:r>
          </w:p>
          <w:p w14:paraId="430883EE" w14:textId="34FFD11E" w:rsidR="00B55101" w:rsidRPr="006C170D" w:rsidRDefault="002B5346" w:rsidP="10D47FC7">
            <w:pPr>
              <w:pStyle w:val="P68B1DB1-NormalWeb9"/>
              <w:numPr>
                <w:ilvl w:val="0"/>
                <w:numId w:val="15"/>
              </w:numPr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  <w:r w:rsidRPr="10D47FC7">
              <w:rPr>
                <w:rFonts w:asciiTheme="minorHAnsi" w:eastAsiaTheme="minorEastAsia" w:hAnsiTheme="minorHAnsi" w:cstheme="minorBidi"/>
                <w:lang w:val="pl-PL"/>
              </w:rPr>
              <w:lastRenderedPageBreak/>
              <w:t>XML/JSON – musi umożliwiać import ustrukturyzowanych danych klinicznych za pomocą plików w tych formatach.</w:t>
            </w:r>
          </w:p>
        </w:tc>
      </w:tr>
      <w:tr w:rsidR="00B55101" w:rsidRPr="008857AE" w14:paraId="7285B4F3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975" w:type="dxa"/>
            <w:gridSpan w:val="2"/>
          </w:tcPr>
          <w:p w14:paraId="53A84DD2" w14:textId="651BACBD" w:rsidR="00B55101" w:rsidRPr="006C170D" w:rsidRDefault="00B82F2E" w:rsidP="10D47FC7">
            <w:r w:rsidRPr="10D47FC7">
              <w:lastRenderedPageBreak/>
              <w:t>5</w:t>
            </w:r>
            <w:r w:rsidR="00B55101" w:rsidRPr="10D47FC7">
              <w:t xml:space="preserve">.     </w:t>
            </w:r>
          </w:p>
        </w:tc>
        <w:tc>
          <w:tcPr>
            <w:tcW w:w="8996" w:type="dxa"/>
          </w:tcPr>
          <w:p w14:paraId="6ECDB968" w14:textId="77777777" w:rsidR="002B5346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Integracja z systemami instytucjonalnymi w celu zbierania następujących danych:</w:t>
            </w:r>
          </w:p>
          <w:p w14:paraId="654ECD3B" w14:textId="77777777" w:rsidR="002B5346" w:rsidRPr="006C170D" w:rsidRDefault="002B5346" w:rsidP="10D47FC7">
            <w:pPr>
              <w:pStyle w:val="P68B1DB1-NormalWeb9"/>
              <w:numPr>
                <w:ilvl w:val="0"/>
                <w:numId w:val="15"/>
              </w:numPr>
              <w:tabs>
                <w:tab w:val="num" w:pos="1080"/>
              </w:tabs>
              <w:jc w:val="both"/>
              <w:rPr>
                <w:rFonts w:asciiTheme="minorHAnsi" w:eastAsiaTheme="minorEastAsia" w:hAnsiTheme="minorHAnsi" w:cstheme="minorBidi"/>
              </w:rPr>
            </w:pPr>
            <w:r w:rsidRPr="10D47FC7">
              <w:rPr>
                <w:rFonts w:asciiTheme="minorHAnsi" w:eastAsiaTheme="minorEastAsia" w:hAnsiTheme="minorHAnsi" w:cstheme="minorBidi"/>
              </w:rPr>
              <w:t>Dane demograficzne użytkowników;</w:t>
            </w:r>
          </w:p>
          <w:p w14:paraId="1B24336B" w14:textId="77777777" w:rsidR="002B5346" w:rsidRPr="006C170D" w:rsidRDefault="002B5346" w:rsidP="10D47FC7">
            <w:pPr>
              <w:pStyle w:val="P68B1DB1-NormalWeb9"/>
              <w:numPr>
                <w:ilvl w:val="0"/>
                <w:numId w:val="15"/>
              </w:numPr>
              <w:tabs>
                <w:tab w:val="num" w:pos="1080"/>
              </w:tabs>
              <w:jc w:val="both"/>
              <w:rPr>
                <w:rFonts w:asciiTheme="minorHAnsi" w:eastAsiaTheme="minorEastAsia" w:hAnsiTheme="minorHAnsi" w:cstheme="minorBidi"/>
              </w:rPr>
            </w:pPr>
            <w:r w:rsidRPr="10D47FC7">
              <w:rPr>
                <w:rFonts w:asciiTheme="minorHAnsi" w:eastAsiaTheme="minorEastAsia" w:hAnsiTheme="minorHAnsi" w:cstheme="minorBidi"/>
              </w:rPr>
              <w:t>Rejestr odcinków konsultacji;</w:t>
            </w:r>
          </w:p>
          <w:p w14:paraId="56D54153" w14:textId="746F63F5" w:rsidR="002B5346" w:rsidRPr="006C170D" w:rsidRDefault="002B5346" w:rsidP="10D47FC7">
            <w:pPr>
              <w:pStyle w:val="P68B1DB1-NormalWeb9"/>
              <w:numPr>
                <w:ilvl w:val="0"/>
                <w:numId w:val="15"/>
              </w:numPr>
              <w:tabs>
                <w:tab w:val="num" w:pos="1080"/>
              </w:tabs>
              <w:jc w:val="both"/>
              <w:rPr>
                <w:rFonts w:asciiTheme="minorHAnsi" w:eastAsiaTheme="minorEastAsia" w:hAnsiTheme="minorHAnsi" w:cstheme="minorBidi"/>
              </w:rPr>
            </w:pPr>
            <w:r w:rsidRPr="10D47FC7">
              <w:rPr>
                <w:rFonts w:asciiTheme="minorHAnsi" w:eastAsiaTheme="minorEastAsia" w:hAnsiTheme="minorHAnsi" w:cstheme="minorBidi"/>
              </w:rPr>
              <w:t xml:space="preserve">Dane dotyczące planowania (konsultacje, </w:t>
            </w:r>
            <w:r w:rsidR="1432DAB7" w:rsidRPr="10D47FC7">
              <w:rPr>
                <w:rFonts w:asciiTheme="minorHAnsi" w:eastAsiaTheme="minorEastAsia" w:hAnsiTheme="minorHAnsi" w:cstheme="minorBidi"/>
              </w:rPr>
              <w:t>badania</w:t>
            </w:r>
            <w:r w:rsidRPr="10D47FC7">
              <w:rPr>
                <w:rFonts w:asciiTheme="minorHAnsi" w:eastAsiaTheme="minorEastAsia" w:hAnsiTheme="minorHAnsi" w:cstheme="minorBidi"/>
              </w:rPr>
              <w:t xml:space="preserve">, </w:t>
            </w:r>
            <w:r w:rsidR="2198EE5A" w:rsidRPr="10D47FC7">
              <w:rPr>
                <w:rFonts w:asciiTheme="minorHAnsi" w:eastAsiaTheme="minorEastAsia" w:hAnsiTheme="minorHAnsi" w:cstheme="minorBidi"/>
              </w:rPr>
              <w:t xml:space="preserve">procedury </w:t>
            </w:r>
            <w:r w:rsidRPr="10D47FC7">
              <w:rPr>
                <w:rFonts w:asciiTheme="minorHAnsi" w:eastAsiaTheme="minorEastAsia" w:hAnsiTheme="minorHAnsi" w:cstheme="minorBidi"/>
              </w:rPr>
              <w:t xml:space="preserve">związane ze </w:t>
            </w:r>
            <w:r w:rsidR="7CAECC3E" w:rsidRPr="10D47FC7">
              <w:rPr>
                <w:rFonts w:asciiTheme="minorHAnsi" w:eastAsiaTheme="minorEastAsia" w:hAnsiTheme="minorHAnsi" w:cstheme="minorBidi"/>
              </w:rPr>
              <w:t>badaniami</w:t>
            </w:r>
            <w:r w:rsidRPr="10D47FC7">
              <w:rPr>
                <w:rFonts w:asciiTheme="minorHAnsi" w:eastAsiaTheme="minorEastAsia" w:hAnsiTheme="minorHAnsi" w:cstheme="minorBidi"/>
              </w:rPr>
              <w:t>);</w:t>
            </w:r>
          </w:p>
          <w:p w14:paraId="4E37E27F" w14:textId="77777777" w:rsidR="002B5346" w:rsidRPr="006C170D" w:rsidRDefault="002B5346" w:rsidP="10D47FC7">
            <w:pPr>
              <w:pStyle w:val="P68B1DB1-NormalWeb9"/>
              <w:numPr>
                <w:ilvl w:val="0"/>
                <w:numId w:val="15"/>
              </w:numPr>
              <w:tabs>
                <w:tab w:val="num" w:pos="1080"/>
              </w:tabs>
              <w:jc w:val="both"/>
              <w:rPr>
                <w:rFonts w:asciiTheme="minorHAnsi" w:eastAsiaTheme="minorEastAsia" w:hAnsiTheme="minorHAnsi" w:cstheme="minorBidi"/>
              </w:rPr>
            </w:pPr>
            <w:r w:rsidRPr="10D47FC7">
              <w:rPr>
                <w:rFonts w:asciiTheme="minorHAnsi" w:eastAsiaTheme="minorEastAsia" w:hAnsiTheme="minorHAnsi" w:cstheme="minorBidi"/>
              </w:rPr>
              <w:t>Wyniki badań laboratoryjnych;</w:t>
            </w:r>
          </w:p>
          <w:p w14:paraId="7ABE5311" w14:textId="44E3B4A9" w:rsidR="00B55101" w:rsidRPr="00130FA2" w:rsidRDefault="002B5346" w:rsidP="10D47FC7">
            <w:pPr>
              <w:pStyle w:val="P68B1DB1-NormalWeb9"/>
              <w:numPr>
                <w:ilvl w:val="0"/>
                <w:numId w:val="15"/>
              </w:numPr>
              <w:tabs>
                <w:tab w:val="num" w:pos="1080"/>
              </w:tabs>
              <w:jc w:val="both"/>
              <w:rPr>
                <w:rFonts w:asciiTheme="minorHAnsi" w:eastAsiaTheme="minorEastAsia" w:hAnsiTheme="minorHAnsi" w:cstheme="minorBidi"/>
                <w:lang w:val="pl-PL"/>
              </w:rPr>
            </w:pPr>
            <w:r w:rsidRPr="10D47FC7">
              <w:rPr>
                <w:rFonts w:asciiTheme="minorHAnsi" w:eastAsiaTheme="minorEastAsia" w:hAnsiTheme="minorHAnsi" w:cstheme="minorBidi"/>
                <w:lang w:val="pl-PL"/>
              </w:rPr>
              <w:t xml:space="preserve">Raporty </w:t>
            </w:r>
            <w:r w:rsidR="00B2759A" w:rsidRPr="10D47FC7">
              <w:rPr>
                <w:rFonts w:asciiTheme="minorHAnsi" w:eastAsiaTheme="minorEastAsia" w:hAnsiTheme="minorHAnsi" w:cstheme="minorBidi"/>
                <w:lang w:val="pl-PL"/>
              </w:rPr>
              <w:t xml:space="preserve">z badan </w:t>
            </w:r>
            <w:r w:rsidR="00130FA2" w:rsidRPr="10D47FC7">
              <w:rPr>
                <w:rFonts w:asciiTheme="minorHAnsi" w:eastAsiaTheme="minorEastAsia" w:hAnsiTheme="minorHAnsi" w:cstheme="minorBidi"/>
                <w:lang w:val="pl-PL"/>
              </w:rPr>
              <w:t>obrazowych/ opisy</w:t>
            </w:r>
          </w:p>
        </w:tc>
      </w:tr>
      <w:tr w:rsidR="00B55101" w:rsidRPr="008857AE" w14:paraId="3125F8A0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975" w:type="dxa"/>
            <w:gridSpan w:val="2"/>
          </w:tcPr>
          <w:p w14:paraId="0E7BBF33" w14:textId="71BEC0C6" w:rsidR="00B55101" w:rsidRPr="006C170D" w:rsidRDefault="00B82F2E" w:rsidP="10D47FC7">
            <w:r w:rsidRPr="10D47FC7">
              <w:t>6</w:t>
            </w:r>
            <w:r w:rsidR="00B55101" w:rsidRPr="10D47FC7">
              <w:t xml:space="preserve">.     </w:t>
            </w:r>
          </w:p>
        </w:tc>
        <w:tc>
          <w:tcPr>
            <w:tcW w:w="8996" w:type="dxa"/>
          </w:tcPr>
          <w:p w14:paraId="0D907E7F" w14:textId="77777777" w:rsidR="002B5346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Obsługuje następujące metody i formaty importu danych:</w:t>
            </w:r>
          </w:p>
          <w:p w14:paraId="7B5175D9" w14:textId="77777777" w:rsidR="002B5346" w:rsidRPr="006C170D" w:rsidRDefault="002B5346" w:rsidP="10D47FC7">
            <w:pPr>
              <w:pStyle w:val="P68B1DB1-ListParagraph2"/>
              <w:numPr>
                <w:ilvl w:val="0"/>
                <w:numId w:val="13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CSV/XML/JSON: Importuj historyczne lub zewnętrzne zestawy danych;</w:t>
            </w:r>
          </w:p>
          <w:p w14:paraId="3C62B0D0" w14:textId="7A91DEC6" w:rsidR="00B55101" w:rsidRPr="006C170D" w:rsidRDefault="002B5346" w:rsidP="10D47FC7">
            <w:pPr>
              <w:pStyle w:val="P68B1DB1-ListParagraph2"/>
              <w:numPr>
                <w:ilvl w:val="0"/>
                <w:numId w:val="13"/>
              </w:numPr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CDISC ODM lub SDTM: Importowanie danych z badań klinicznych.</w:t>
            </w:r>
          </w:p>
        </w:tc>
      </w:tr>
      <w:tr w:rsidR="00B55101" w:rsidRPr="008857AE" w14:paraId="1959F755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975" w:type="dxa"/>
            <w:gridSpan w:val="2"/>
          </w:tcPr>
          <w:p w14:paraId="18BFDC88" w14:textId="2F8B5E1A" w:rsidR="00B55101" w:rsidRPr="006C170D" w:rsidRDefault="00B82F2E" w:rsidP="10D47FC7">
            <w:r w:rsidRPr="10D47FC7">
              <w:t>7</w:t>
            </w:r>
            <w:r w:rsidR="00B55101" w:rsidRPr="10D47FC7">
              <w:t xml:space="preserve">.     </w:t>
            </w:r>
          </w:p>
        </w:tc>
        <w:tc>
          <w:tcPr>
            <w:tcW w:w="8996" w:type="dxa"/>
          </w:tcPr>
          <w:p w14:paraId="137C0F0C" w14:textId="3D07C563" w:rsidR="00B55101" w:rsidRPr="006C170D" w:rsidRDefault="002B5346" w:rsidP="10D47FC7">
            <w:pPr>
              <w:pStyle w:val="P68B1DB1-ListParagraph2"/>
              <w:ind w:left="0"/>
              <w:jc w:val="both"/>
              <w:rPr>
                <w:rFonts w:asciiTheme="minorHAnsi" w:hAnsiTheme="minorHAnsi" w:cstheme="minorBidi"/>
                <w:lang w:val="pl-PL"/>
              </w:rPr>
            </w:pPr>
            <w:r w:rsidRPr="10D47FC7">
              <w:rPr>
                <w:rFonts w:asciiTheme="minorHAnsi" w:hAnsiTheme="minorHAnsi" w:cstheme="minorBidi"/>
                <w:lang w:val="pl-PL"/>
              </w:rPr>
              <w:t>Zezwól na eksport danych badawczych w następujących formatach: CSV, Excel (. xlsx), XML, JSON, CDISC SDTM.</w:t>
            </w:r>
          </w:p>
        </w:tc>
      </w:tr>
      <w:tr w:rsidR="00FA7721" w:rsidRPr="00A63D10" w14:paraId="0EEAF5F3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9971" w:type="dxa"/>
            <w:gridSpan w:val="3"/>
          </w:tcPr>
          <w:p w14:paraId="59E70656" w14:textId="236A82A4" w:rsidR="00FA7721" w:rsidRPr="006C170D" w:rsidRDefault="00FA7721" w:rsidP="10D47FC7">
            <w:pPr>
              <w:pStyle w:val="Akapitzlist"/>
              <w:numPr>
                <w:ilvl w:val="0"/>
                <w:numId w:val="22"/>
              </w:numPr>
            </w:pPr>
            <w:r w:rsidRPr="10D47FC7">
              <w:t>Model licencyjny</w:t>
            </w:r>
          </w:p>
        </w:tc>
      </w:tr>
      <w:tr w:rsidR="00B55101" w:rsidRPr="008857AE" w14:paraId="44F4A869" w14:textId="77777777" w:rsidTr="10D47FC7">
        <w:tblPrEx>
          <w:tblCellMar>
            <w:left w:w="100" w:type="dxa"/>
            <w:right w:w="100" w:type="dxa"/>
          </w:tblCellMar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975" w:type="dxa"/>
            <w:gridSpan w:val="2"/>
          </w:tcPr>
          <w:p w14:paraId="66EA238C" w14:textId="1C71FC7A" w:rsidR="00B55101" w:rsidRPr="006C170D" w:rsidRDefault="00B55101" w:rsidP="10D47FC7">
            <w:r w:rsidRPr="10D47FC7">
              <w:t xml:space="preserve">1.     </w:t>
            </w:r>
          </w:p>
        </w:tc>
        <w:tc>
          <w:tcPr>
            <w:tcW w:w="8996" w:type="dxa"/>
          </w:tcPr>
          <w:p w14:paraId="43D8F055" w14:textId="47677646" w:rsidR="00B55101" w:rsidRPr="0083021B" w:rsidRDefault="008D5F74" w:rsidP="10D47FC7">
            <w:pPr>
              <w:rPr>
                <w:lang w:val="pl-PL"/>
              </w:rPr>
            </w:pPr>
            <w:r w:rsidRPr="10D47FC7">
              <w:rPr>
                <w:lang w:val="pl-PL"/>
              </w:rPr>
              <w:t>Rozwiązanie musi obejmować model licencjonowania, który spełnia co najmniej następujące wymagania:</w:t>
            </w:r>
          </w:p>
          <w:p w14:paraId="70C28962" w14:textId="0EEC4F84" w:rsidR="00B55101" w:rsidRPr="0083021B" w:rsidRDefault="008D5F74" w:rsidP="10D47FC7">
            <w:pPr>
              <w:rPr>
                <w:lang w:val="pl-PL"/>
              </w:rPr>
            </w:pPr>
            <w:r>
              <w:br/>
            </w:r>
            <w:r w:rsidRPr="10D47FC7">
              <w:rPr>
                <w:lang w:val="pl-PL"/>
              </w:rPr>
              <w:t xml:space="preserve">System powinien umożliwiać pracę minimum </w:t>
            </w:r>
            <w:r w:rsidR="00D52947" w:rsidRPr="10D47FC7">
              <w:rPr>
                <w:lang w:val="pl-PL"/>
              </w:rPr>
              <w:t>15</w:t>
            </w:r>
            <w:r w:rsidRPr="10D47FC7">
              <w:rPr>
                <w:lang w:val="pl-PL"/>
              </w:rPr>
              <w:t xml:space="preserve"> nazwanym (imiennym) użytkownikom z pełnym dostępem do wszystkich funkcjonalności systemu. </w:t>
            </w:r>
          </w:p>
          <w:p w14:paraId="2C2F80E7" w14:textId="1AB33DCB" w:rsidR="00B55101" w:rsidRPr="0083021B" w:rsidRDefault="008D5F74" w:rsidP="10D47FC7">
            <w:pPr>
              <w:rPr>
                <w:lang w:val="pl-PL"/>
              </w:rPr>
            </w:pPr>
            <w:r w:rsidRPr="10D47FC7">
              <w:rPr>
                <w:lang w:val="pl-PL"/>
              </w:rPr>
              <w:t xml:space="preserve">Dodatkowo licencja musi obejmować co najmniej </w:t>
            </w:r>
            <w:r w:rsidR="006078DD" w:rsidRPr="10D47FC7">
              <w:rPr>
                <w:lang w:val="pl-PL"/>
              </w:rPr>
              <w:t>15</w:t>
            </w:r>
            <w:r w:rsidRPr="10D47FC7">
              <w:rPr>
                <w:lang w:val="pl-PL"/>
              </w:rPr>
              <w:t xml:space="preserve"> nazwanych użytkowników z ograniczonym dostępem, przeznaczonym do konsultacji – użytkownicy ci mogą przeglądać dane oraz edytować wybrane pola zgodnie z konfiguracją Administratora</w:t>
            </w:r>
            <w:r w:rsidR="008E23AA" w:rsidRPr="10D47FC7">
              <w:rPr>
                <w:lang w:val="pl-PL"/>
              </w:rPr>
              <w:t xml:space="preserve"> Systemu</w:t>
            </w:r>
            <w:r w:rsidRPr="10D47FC7">
              <w:rPr>
                <w:lang w:val="pl-PL"/>
              </w:rPr>
              <w:t xml:space="preserve">, jednak nie mają możliwości wprowadzania nowych danych ani pełnej edycji rekordów. </w:t>
            </w:r>
          </w:p>
          <w:p w14:paraId="144D5D4D" w14:textId="17B8C7E0" w:rsidR="00B55101" w:rsidRPr="0083021B" w:rsidRDefault="008D5F74" w:rsidP="10D47FC7">
            <w:pPr>
              <w:rPr>
                <w:lang w:val="pl-PL"/>
              </w:rPr>
            </w:pPr>
            <w:r w:rsidRPr="10D47FC7">
              <w:rPr>
                <w:lang w:val="pl-PL"/>
              </w:rPr>
              <w:lastRenderedPageBreak/>
              <w:t>Licencja musi zapewniać obsługę nieograniczonej liczby badań klinicznych oraz nieograniczonej liczby uczestników/pacjentów. Model licencjonowania powinien umożliwiać skalowalne zwiększanie liczby użytkowników w przyszłości, w tym zawarcie dodatkowej umowy rozszerzającej licencję w zależności od potrzeb Zamawiającego.</w:t>
            </w:r>
          </w:p>
          <w:p w14:paraId="3F629B82" w14:textId="290AEE4B" w:rsidR="008E23AA" w:rsidRPr="008E23AA" w:rsidRDefault="008E23AA" w:rsidP="10D47FC7">
            <w:pPr>
              <w:rPr>
                <w:lang w:val="pl-PL"/>
              </w:rPr>
            </w:pPr>
            <w:r w:rsidRPr="10D47FC7">
              <w:rPr>
                <w:lang w:val="pl-PL"/>
              </w:rPr>
              <w:t>Dostarczona licencja musi mi</w:t>
            </w:r>
            <w:r w:rsidR="23F32BF2" w:rsidRPr="10D47FC7">
              <w:rPr>
                <w:lang w:val="pl-PL"/>
              </w:rPr>
              <w:t>e</w:t>
            </w:r>
            <w:r w:rsidRPr="10D47FC7">
              <w:rPr>
                <w:lang w:val="pl-PL"/>
              </w:rPr>
              <w:t>ć charter bezterminowy.</w:t>
            </w:r>
          </w:p>
        </w:tc>
      </w:tr>
    </w:tbl>
    <w:p w14:paraId="1B2C9E74" w14:textId="77777777" w:rsidR="009A06C3" w:rsidRPr="006C170D" w:rsidRDefault="009A06C3" w:rsidP="10D47FC7">
      <w:pPr>
        <w:jc w:val="both"/>
        <w:rPr>
          <w:lang w:val="pl-PL"/>
        </w:rPr>
      </w:pPr>
      <w:bookmarkStart w:id="0" w:name="_heading=h.gjdgxs"/>
      <w:bookmarkEnd w:id="0"/>
    </w:p>
    <w:tbl>
      <w:tblPr>
        <w:tblW w:w="0" w:type="auto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00" w:firstRow="0" w:lastRow="0" w:firstColumn="0" w:lastColumn="0" w:noHBand="0" w:noVBand="1"/>
      </w:tblPr>
      <w:tblGrid>
        <w:gridCol w:w="892"/>
        <w:gridCol w:w="8578"/>
      </w:tblGrid>
      <w:tr w:rsidR="10D47FC7" w14:paraId="10E9F505" w14:textId="77777777" w:rsidTr="10D47FC7">
        <w:trPr>
          <w:trHeight w:val="525"/>
        </w:trPr>
        <w:tc>
          <w:tcPr>
            <w:tcW w:w="10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6B7A1A96" w14:textId="24E155F9" w:rsidR="10D47FC7" w:rsidRDefault="10D47FC7" w:rsidP="10D47FC7">
            <w:pPr>
              <w:pStyle w:val="Akapitzlist"/>
              <w:numPr>
                <w:ilvl w:val="0"/>
                <w:numId w:val="22"/>
              </w:numPr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Wdrożenie i uruchomienie SYSTEMU</w:t>
            </w:r>
          </w:p>
          <w:p w14:paraId="1275D097" w14:textId="771C87C3" w:rsidR="10D47FC7" w:rsidRDefault="10D47FC7" w:rsidP="10D47FC7">
            <w:pPr>
              <w:ind w:left="1080"/>
              <w:rPr>
                <w:color w:val="000000" w:themeColor="text1"/>
                <w:lang w:val="pl-PL"/>
              </w:rPr>
            </w:pPr>
          </w:p>
        </w:tc>
      </w:tr>
      <w:tr w:rsidR="10D47FC7" w14:paraId="414928DC" w14:textId="77777777" w:rsidTr="10D47FC7">
        <w:trPr>
          <w:trHeight w:val="510"/>
        </w:trPr>
        <w:tc>
          <w:tcPr>
            <w:tcW w:w="9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717129A7" w14:textId="5F8934D5" w:rsidR="10D47FC7" w:rsidRDefault="10D47FC7" w:rsidP="10D47FC7">
            <w:pPr>
              <w:rPr>
                <w:color w:val="000000" w:themeColor="text1"/>
              </w:rPr>
            </w:pPr>
            <w:r w:rsidRPr="10D47FC7">
              <w:rPr>
                <w:color w:val="000000" w:themeColor="text1"/>
              </w:rPr>
              <w:t xml:space="preserve">1.     </w:t>
            </w:r>
          </w:p>
        </w:tc>
        <w:tc>
          <w:tcPr>
            <w:tcW w:w="9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76B58081" w14:textId="4F0807AF" w:rsidR="10D47FC7" w:rsidRDefault="10D47FC7" w:rsidP="10D47FC7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Opracowanie i uzgodnienie z Zamawiającym szczegółowego harmonogramu wdrożenia, obejmującego etapy analizy, konfiguracji, testów, migracji danych (jeśli dotyczy) oraz uruchomienia produkcyjnego.</w:t>
            </w:r>
          </w:p>
          <w:p w14:paraId="70C79228" w14:textId="54127EB2" w:rsidR="10D47FC7" w:rsidRDefault="10D47FC7" w:rsidP="10D47FC7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Przeprowadzenie konfiguracji i parametrów systemu na środowisku testowym oraz produkcyjnym, w oparciu o wymagania funkcjonalne i niefunkcjonalne Zamawiającego w tym dostarczenie [w formie VM] lub instalacje serwerów i aplikacji niezbędnych do optymalnego działania dostarczanego SYSTEMU</w:t>
            </w:r>
          </w:p>
          <w:p w14:paraId="25AE8C17" w14:textId="1DEB09D4" w:rsidR="10D47FC7" w:rsidRDefault="10D47FC7" w:rsidP="10D47FC7">
            <w:pPr>
              <w:pStyle w:val="Akapitzlist"/>
              <w:numPr>
                <w:ilvl w:val="0"/>
                <w:numId w:val="3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Realizacja testów akceptacyjnych z udziałem użytkowników wskazanych przez Zamawiającego oraz usunięcie stwierdzonych nieprawidłowości przed odbiorem końcowym</w:t>
            </w:r>
          </w:p>
        </w:tc>
      </w:tr>
    </w:tbl>
    <w:p w14:paraId="0F4485A9" w14:textId="0F543DF2" w:rsidR="009A06C3" w:rsidRPr="006C170D" w:rsidRDefault="009A06C3" w:rsidP="10D47FC7">
      <w:pPr>
        <w:pStyle w:val="Akapitzlist"/>
        <w:ind w:left="0"/>
        <w:jc w:val="both"/>
        <w:rPr>
          <w:lang w:val="pl-PL"/>
        </w:rPr>
      </w:pPr>
      <w:bookmarkStart w:id="1" w:name="OLE_LINK4"/>
      <w:bookmarkStart w:id="2" w:name="OLE_LINK2"/>
    </w:p>
    <w:tbl>
      <w:tblPr>
        <w:tblW w:w="0" w:type="auto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00" w:firstRow="0" w:lastRow="0" w:firstColumn="0" w:lastColumn="0" w:noHBand="0" w:noVBand="1"/>
      </w:tblPr>
      <w:tblGrid>
        <w:gridCol w:w="893"/>
        <w:gridCol w:w="8577"/>
      </w:tblGrid>
      <w:tr w:rsidR="10D47FC7" w14:paraId="1473253C" w14:textId="77777777" w:rsidTr="10D47FC7">
        <w:trPr>
          <w:trHeight w:val="525"/>
        </w:trPr>
        <w:tc>
          <w:tcPr>
            <w:tcW w:w="10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2B0FC474" w14:textId="4362FBAB" w:rsidR="10D47FC7" w:rsidRDefault="10D47FC7" w:rsidP="10D47FC7">
            <w:pPr>
              <w:pStyle w:val="Akapitzlist"/>
              <w:numPr>
                <w:ilvl w:val="0"/>
                <w:numId w:val="22"/>
              </w:numPr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Szkolenia</w:t>
            </w:r>
          </w:p>
          <w:p w14:paraId="58A181A9" w14:textId="16A6A54F" w:rsidR="10D47FC7" w:rsidRDefault="10D47FC7" w:rsidP="10D47FC7">
            <w:pPr>
              <w:ind w:left="1080"/>
              <w:rPr>
                <w:color w:val="000000" w:themeColor="text1"/>
                <w:lang w:val="pl-PL"/>
              </w:rPr>
            </w:pPr>
          </w:p>
        </w:tc>
      </w:tr>
      <w:tr w:rsidR="10D47FC7" w14:paraId="73D18946" w14:textId="77777777" w:rsidTr="10D47FC7">
        <w:trPr>
          <w:trHeight w:val="510"/>
        </w:trPr>
        <w:tc>
          <w:tcPr>
            <w:tcW w:w="9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5890863F" w14:textId="6B93867B" w:rsidR="10D47FC7" w:rsidRDefault="10D47FC7" w:rsidP="10D47FC7">
            <w:pPr>
              <w:rPr>
                <w:color w:val="000000" w:themeColor="text1"/>
              </w:rPr>
            </w:pPr>
            <w:r w:rsidRPr="10D47FC7">
              <w:rPr>
                <w:color w:val="000000" w:themeColor="text1"/>
              </w:rPr>
              <w:t xml:space="preserve">1.     </w:t>
            </w:r>
          </w:p>
        </w:tc>
        <w:tc>
          <w:tcPr>
            <w:tcW w:w="9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3171BB86" w14:textId="6684D177" w:rsidR="10D47FC7" w:rsidRDefault="10D47FC7" w:rsidP="10D47FC7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 xml:space="preserve">Przeprowadzenie szkoleń dla kluczowych użytkowników (np. administratorów systemu, koordynatorów badań, monitorów), </w:t>
            </w:r>
            <w:r w:rsidRPr="10D47FC7">
              <w:rPr>
                <w:color w:val="000000" w:themeColor="text1"/>
                <w:lang w:val="pl-PL"/>
              </w:rPr>
              <w:lastRenderedPageBreak/>
              <w:t>obejmujących administrację, konfigurację oraz zaawansowane funkcje dostarczonego SYSTEMU.</w:t>
            </w:r>
          </w:p>
          <w:p w14:paraId="5754336A" w14:textId="7D950A66" w:rsidR="10D47FC7" w:rsidRDefault="10D47FC7" w:rsidP="10D47FC7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Przeprowadzenie szkoleń dla użytkowników końcowych (personel badawczy, personel administracyjny), obejmujących obsługę systemu w zakresie wykonywanych zadań.</w:t>
            </w:r>
          </w:p>
          <w:p w14:paraId="41D9D51B" w14:textId="24D3CE9F" w:rsidR="10D47FC7" w:rsidRDefault="10D47FC7" w:rsidP="10D47FC7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color w:val="000000" w:themeColor="text1"/>
                <w:lang w:val="pl-PL"/>
              </w:rPr>
            </w:pPr>
            <w:r w:rsidRPr="10D47FC7">
              <w:rPr>
                <w:color w:val="000000" w:themeColor="text1"/>
                <w:lang w:val="pl-PL"/>
              </w:rPr>
              <w:t>Dostarczenie materiałów szkoleniowych w języku polskim (np. prezentacje, instrukcje użytkownika, podręcznik administratora), w formie elektronicznej, z prawem Zamawiającego do ich wewnętrznego wykorzystania i powielania.</w:t>
            </w:r>
          </w:p>
        </w:tc>
      </w:tr>
    </w:tbl>
    <w:p w14:paraId="175E7967" w14:textId="7134DE09" w:rsidR="009A06C3" w:rsidRPr="006C170D" w:rsidRDefault="009A06C3" w:rsidP="10D47FC7">
      <w:pPr>
        <w:jc w:val="both"/>
        <w:rPr>
          <w:b/>
          <w:bCs/>
          <w:lang w:val="pl-PL"/>
        </w:rPr>
      </w:pPr>
    </w:p>
    <w:p w14:paraId="1F039221" w14:textId="77777777" w:rsidR="009A06C3" w:rsidRPr="006C170D" w:rsidRDefault="009A06C3" w:rsidP="10D47FC7">
      <w:pPr>
        <w:jc w:val="both"/>
        <w:rPr>
          <w:lang w:val="pl-PL"/>
        </w:rPr>
      </w:pPr>
    </w:p>
    <w:p w14:paraId="1C18F464" w14:textId="77D1DADA" w:rsidR="009A06C3" w:rsidRPr="006C170D" w:rsidRDefault="00C66451" w:rsidP="10D47FC7">
      <w:pPr>
        <w:pStyle w:val="P68B1DB1-Normal1"/>
        <w:tabs>
          <w:tab w:val="left" w:pos="2812"/>
        </w:tabs>
        <w:jc w:val="both"/>
        <w:rPr>
          <w:rFonts w:asciiTheme="minorHAnsi" w:hAnsiTheme="minorHAnsi" w:cstheme="minorBidi"/>
          <w:lang w:val="pl-PL"/>
        </w:rPr>
      </w:pPr>
      <w:r w:rsidRPr="006C170D">
        <w:rPr>
          <w:rFonts w:ascii="Calibri Light" w:hAnsi="Calibri Light" w:cs="Calibri Light"/>
          <w:lang w:val="pl-PL"/>
        </w:rPr>
        <w:tab/>
      </w:r>
    </w:p>
    <w:p w14:paraId="457AEA40" w14:textId="77777777" w:rsidR="009A06C3" w:rsidRPr="006C170D" w:rsidRDefault="009A06C3" w:rsidP="10D47FC7">
      <w:pPr>
        <w:jc w:val="both"/>
        <w:rPr>
          <w:lang w:val="pl-PL"/>
        </w:rPr>
      </w:pPr>
      <w:bookmarkStart w:id="3" w:name="OLE_LINK6"/>
    </w:p>
    <w:bookmarkEnd w:id="3"/>
    <w:p w14:paraId="0B1A2251" w14:textId="2527DEE1" w:rsidR="009A06C3" w:rsidRPr="006C170D" w:rsidRDefault="009A06C3" w:rsidP="10D47FC7">
      <w:pPr>
        <w:jc w:val="both"/>
        <w:rPr>
          <w:lang w:val="pl-PL"/>
        </w:rPr>
      </w:pPr>
    </w:p>
    <w:bookmarkEnd w:id="1"/>
    <w:p w14:paraId="61E3504F" w14:textId="7A232798" w:rsidR="009A06C3" w:rsidRPr="006C170D" w:rsidRDefault="009A06C3" w:rsidP="10D47FC7">
      <w:pPr>
        <w:pStyle w:val="NormalnyWeb"/>
        <w:ind w:left="720"/>
        <w:jc w:val="both"/>
        <w:rPr>
          <w:rFonts w:asciiTheme="minorHAnsi" w:eastAsiaTheme="minorEastAsia" w:hAnsiTheme="minorHAnsi" w:cstheme="minorBidi"/>
          <w:lang w:val="pl-PL"/>
        </w:rPr>
      </w:pPr>
    </w:p>
    <w:bookmarkEnd w:id="2"/>
    <w:p w14:paraId="1D89DA26" w14:textId="77777777" w:rsidR="009A06C3" w:rsidRPr="006C170D" w:rsidRDefault="009A06C3" w:rsidP="10D47FC7">
      <w:pPr>
        <w:jc w:val="both"/>
        <w:rPr>
          <w:lang w:val="pl-PL"/>
        </w:rPr>
      </w:pPr>
    </w:p>
    <w:p w14:paraId="7ECC05D5" w14:textId="6AB4508C" w:rsidR="009A06C3" w:rsidRPr="006C170D" w:rsidRDefault="009A06C3" w:rsidP="10D47FC7">
      <w:pPr>
        <w:pStyle w:val="P68B1DB1-Normal1"/>
        <w:jc w:val="both"/>
        <w:rPr>
          <w:rFonts w:asciiTheme="minorHAnsi" w:hAnsiTheme="minorHAnsi" w:cstheme="minorBidi"/>
          <w:lang w:val="pl-PL"/>
        </w:rPr>
      </w:pPr>
    </w:p>
    <w:p w14:paraId="041CC4A1" w14:textId="77777777" w:rsidR="009A06C3" w:rsidRPr="006C170D" w:rsidRDefault="009A06C3" w:rsidP="10D47FC7">
      <w:pPr>
        <w:jc w:val="both"/>
        <w:rPr>
          <w:lang w:val="pl-PL"/>
        </w:rPr>
      </w:pPr>
    </w:p>
    <w:sectPr w:rsidR="009A06C3" w:rsidRPr="006C170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7917" w14:textId="77777777" w:rsidR="0000527F" w:rsidRDefault="0000527F" w:rsidP="00B55101">
      <w:pPr>
        <w:spacing w:after="0" w:line="240" w:lineRule="auto"/>
      </w:pPr>
      <w:r>
        <w:separator/>
      </w:r>
    </w:p>
  </w:endnote>
  <w:endnote w:type="continuationSeparator" w:id="0">
    <w:p w14:paraId="46E3A23B" w14:textId="77777777" w:rsidR="0000527F" w:rsidRDefault="0000527F" w:rsidP="00B5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7A53" w14:textId="77777777" w:rsidR="0000527F" w:rsidRDefault="0000527F" w:rsidP="00B55101">
      <w:pPr>
        <w:spacing w:after="0" w:line="240" w:lineRule="auto"/>
      </w:pPr>
      <w:r>
        <w:separator/>
      </w:r>
    </w:p>
  </w:footnote>
  <w:footnote w:type="continuationSeparator" w:id="0">
    <w:p w14:paraId="0C1DC2FF" w14:textId="77777777" w:rsidR="0000527F" w:rsidRDefault="0000527F" w:rsidP="00B5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3EB1" w14:textId="2D9C5D1B" w:rsidR="009F1146" w:rsidRPr="00D80C0B" w:rsidRDefault="009F1146" w:rsidP="009F1146">
    <w:pPr>
      <w:pStyle w:val="Nagwek6"/>
      <w:keepNext w:val="0"/>
      <w:keepLines w:val="0"/>
      <w:numPr>
        <w:ilvl w:val="5"/>
        <w:numId w:val="30"/>
      </w:numPr>
      <w:tabs>
        <w:tab w:val="left" w:pos="0"/>
      </w:tabs>
      <w:spacing w:before="240" w:after="60"/>
      <w:ind w:left="0" w:right="-370" w:firstLine="0"/>
      <w:jc w:val="both"/>
      <w:rPr>
        <w:rFonts w:ascii="Times New Roman" w:hAnsi="Times New Roman"/>
        <w:b/>
        <w:bCs/>
        <w:i w:val="0"/>
        <w:iCs w:val="0"/>
      </w:rPr>
    </w:pPr>
    <w:proofErr w:type="spellStart"/>
    <w:r w:rsidRPr="00D80C0B">
      <w:rPr>
        <w:rFonts w:ascii="Times New Roman" w:hAnsi="Times New Roman"/>
        <w:b/>
        <w:bCs/>
        <w:i w:val="0"/>
        <w:iCs w:val="0"/>
      </w:rPr>
      <w:t>Załącznik</w:t>
    </w:r>
    <w:proofErr w:type="spellEnd"/>
    <w:r w:rsidRPr="00D80C0B">
      <w:rPr>
        <w:rFonts w:ascii="Times New Roman" w:hAnsi="Times New Roman"/>
        <w:b/>
        <w:bCs/>
        <w:i w:val="0"/>
        <w:iCs w:val="0"/>
      </w:rPr>
      <w:t xml:space="preserve"> Nr </w:t>
    </w:r>
    <w:r>
      <w:rPr>
        <w:rFonts w:ascii="Times New Roman" w:hAnsi="Times New Roman"/>
        <w:b/>
        <w:bCs/>
        <w:i w:val="0"/>
        <w:iCs w:val="0"/>
      </w:rPr>
      <w:t>3</w:t>
    </w:r>
    <w:r w:rsidRPr="00D80C0B">
      <w:rPr>
        <w:rFonts w:ascii="Times New Roman" w:hAnsi="Times New Roman"/>
        <w:b/>
        <w:bCs/>
        <w:i w:val="0"/>
        <w:iCs w:val="0"/>
      </w:rPr>
      <w:t xml:space="preserve"> do SWZ – </w:t>
    </w:r>
    <w:proofErr w:type="spellStart"/>
    <w:r w:rsidRPr="00D80C0B">
      <w:rPr>
        <w:rFonts w:ascii="Times New Roman" w:hAnsi="Times New Roman"/>
        <w:b/>
        <w:bCs/>
        <w:i w:val="0"/>
        <w:iCs w:val="0"/>
      </w:rPr>
      <w:t>o</w:t>
    </w:r>
    <w:r>
      <w:rPr>
        <w:rFonts w:ascii="Times New Roman" w:hAnsi="Times New Roman"/>
        <w:b/>
        <w:bCs/>
        <w:i w:val="0"/>
        <w:iCs w:val="0"/>
      </w:rPr>
      <w:t>pis</w:t>
    </w:r>
    <w:proofErr w:type="spellEnd"/>
    <w:r>
      <w:rPr>
        <w:rFonts w:ascii="Times New Roman" w:hAnsi="Times New Roman"/>
        <w:b/>
        <w:bCs/>
        <w:i w:val="0"/>
        <w:iCs w:val="0"/>
      </w:rPr>
      <w:t xml:space="preserve"> </w:t>
    </w:r>
    <w:proofErr w:type="spellStart"/>
    <w:r>
      <w:rPr>
        <w:rFonts w:ascii="Times New Roman" w:hAnsi="Times New Roman"/>
        <w:b/>
        <w:bCs/>
        <w:i w:val="0"/>
        <w:iCs w:val="0"/>
      </w:rPr>
      <w:t>przedmiotu</w:t>
    </w:r>
    <w:proofErr w:type="spellEnd"/>
    <w:r>
      <w:rPr>
        <w:rFonts w:ascii="Times New Roman" w:hAnsi="Times New Roman"/>
        <w:b/>
        <w:bCs/>
        <w:i w:val="0"/>
        <w:iCs w:val="0"/>
      </w:rPr>
      <w:t xml:space="preserve"> zamówienia</w:t>
    </w:r>
  </w:p>
  <w:p w14:paraId="6C390276" w14:textId="77777777" w:rsidR="009F1146" w:rsidRPr="00CA54EA" w:rsidRDefault="009F1146" w:rsidP="009F1146">
    <w:r w:rsidRPr="00C1571C">
      <w:rPr>
        <w:noProof/>
      </w:rPr>
      <w:drawing>
        <wp:inline distT="0" distB="0" distL="0" distR="0" wp14:anchorId="13B990B7" wp14:editId="50F169A9">
          <wp:extent cx="5731510" cy="635000"/>
          <wp:effectExtent l="0" t="0" r="2540" b="0"/>
          <wp:docPr id="435822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053F0" w14:textId="77777777" w:rsidR="009F1146" w:rsidRDefault="009F1146" w:rsidP="009F1146">
    <w:pPr>
      <w:pStyle w:val="Nagwek"/>
    </w:pPr>
  </w:p>
  <w:p w14:paraId="1510E621" w14:textId="54828104" w:rsidR="009F1146" w:rsidRDefault="009F1146">
    <w:pPr>
      <w:pStyle w:val="Nagwek"/>
    </w:pPr>
  </w:p>
  <w:p w14:paraId="191122DE" w14:textId="77777777" w:rsidR="009F1146" w:rsidRDefault="009F1146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eCGG+RPnNI4KS" int2:id="6SLfckSO">
      <int2:state int2:value="Rejected" int2:type="spell"/>
    </int2:textHash>
    <int2:textHash int2:hashCode="EVK1V7agWRFCRt" int2:id="qeLQURxB">
      <int2:state int2:value="Rejected" int2:type="spell"/>
    </int2:textHash>
    <int2:textHash int2:hashCode="F6DM+eSfjJ3SuA" int2:id="L2O20JMa">
      <int2:state int2:value="Rejected" int2:type="spell"/>
    </int2:textHash>
    <int2:textHash int2:hashCode="H0P2QMkT7A/An7" int2:id="v59J2AHp">
      <int2:state int2:value="Rejected" int2:type="spell"/>
    </int2:textHash>
    <int2:textHash int2:hashCode="xM4ixgCH++wNBq" int2:id="ZtS3QyZZ">
      <int2:state int2:value="Rejected" int2:type="spell"/>
    </int2:textHash>
    <int2:textHash int2:hashCode="iEU7xr2oSe4bJG" int2:id="7BtRYnLP">
      <int2:state int2:value="Rejected" int2:type="spell"/>
    </int2:textHash>
    <int2:textHash int2:hashCode="2baA5iQvj7tbmb" int2:id="ANmfVJjZ">
      <int2:state int2:value="Rejected" int2:type="spell"/>
    </int2:textHash>
    <int2:textHash int2:hashCode="qUKVoBIR7DlltC" int2:id="Z3ledNzW">
      <int2:state int2:value="Rejected" int2:type="spell"/>
    </int2:textHash>
    <int2:textHash int2:hashCode="dHKVi/dXSNnLyN" int2:id="rAtV7os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46D0B"/>
    <w:multiLevelType w:val="hybridMultilevel"/>
    <w:tmpl w:val="2C76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D468D"/>
    <w:multiLevelType w:val="hybridMultilevel"/>
    <w:tmpl w:val="5698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63194"/>
    <w:multiLevelType w:val="hybridMultilevel"/>
    <w:tmpl w:val="A4A4944A"/>
    <w:lvl w:ilvl="0" w:tplc="803CF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04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61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27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A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E0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9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48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4A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63EC"/>
    <w:multiLevelType w:val="hybridMultilevel"/>
    <w:tmpl w:val="F528B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10523C"/>
    <w:multiLevelType w:val="hybridMultilevel"/>
    <w:tmpl w:val="EABCD3CA"/>
    <w:lvl w:ilvl="0" w:tplc="1E563AB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4220"/>
    <w:multiLevelType w:val="hybridMultilevel"/>
    <w:tmpl w:val="8F4269F8"/>
    <w:lvl w:ilvl="0" w:tplc="B46C4366">
      <w:start w:val="1"/>
      <w:numFmt w:val="decimal"/>
      <w:lvlText w:val="%1."/>
      <w:lvlJc w:val="left"/>
      <w:pPr>
        <w:ind w:left="720" w:hanging="360"/>
      </w:pPr>
    </w:lvl>
    <w:lvl w:ilvl="1" w:tplc="FA9CEC7C">
      <w:start w:val="1"/>
      <w:numFmt w:val="lowerLetter"/>
      <w:lvlText w:val="%2."/>
      <w:lvlJc w:val="left"/>
      <w:pPr>
        <w:ind w:left="1440" w:hanging="360"/>
      </w:pPr>
    </w:lvl>
    <w:lvl w:ilvl="2" w:tplc="DFCE9982">
      <w:start w:val="1"/>
      <w:numFmt w:val="lowerRoman"/>
      <w:lvlText w:val="%3."/>
      <w:lvlJc w:val="right"/>
      <w:pPr>
        <w:ind w:left="2160" w:hanging="180"/>
      </w:pPr>
    </w:lvl>
    <w:lvl w:ilvl="3" w:tplc="74A09C48">
      <w:start w:val="1"/>
      <w:numFmt w:val="decimal"/>
      <w:lvlText w:val="%4."/>
      <w:lvlJc w:val="left"/>
      <w:pPr>
        <w:ind w:left="2880" w:hanging="360"/>
      </w:pPr>
    </w:lvl>
    <w:lvl w:ilvl="4" w:tplc="0BAAE760">
      <w:start w:val="1"/>
      <w:numFmt w:val="lowerLetter"/>
      <w:lvlText w:val="%5."/>
      <w:lvlJc w:val="left"/>
      <w:pPr>
        <w:ind w:left="3600" w:hanging="360"/>
      </w:pPr>
    </w:lvl>
    <w:lvl w:ilvl="5" w:tplc="09347724">
      <w:start w:val="1"/>
      <w:numFmt w:val="lowerRoman"/>
      <w:lvlText w:val="%6."/>
      <w:lvlJc w:val="right"/>
      <w:pPr>
        <w:ind w:left="4320" w:hanging="180"/>
      </w:pPr>
    </w:lvl>
    <w:lvl w:ilvl="6" w:tplc="2B48E90A">
      <w:start w:val="1"/>
      <w:numFmt w:val="decimal"/>
      <w:lvlText w:val="%7."/>
      <w:lvlJc w:val="left"/>
      <w:pPr>
        <w:ind w:left="5040" w:hanging="360"/>
      </w:pPr>
    </w:lvl>
    <w:lvl w:ilvl="7" w:tplc="E5AA4F28">
      <w:start w:val="1"/>
      <w:numFmt w:val="lowerLetter"/>
      <w:lvlText w:val="%8."/>
      <w:lvlJc w:val="left"/>
      <w:pPr>
        <w:ind w:left="5760" w:hanging="360"/>
      </w:pPr>
    </w:lvl>
    <w:lvl w:ilvl="8" w:tplc="181C66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4D0"/>
    <w:multiLevelType w:val="multilevel"/>
    <w:tmpl w:val="917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770BC"/>
    <w:multiLevelType w:val="multilevel"/>
    <w:tmpl w:val="3E86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85B38"/>
    <w:multiLevelType w:val="hybridMultilevel"/>
    <w:tmpl w:val="187CA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306B4"/>
    <w:multiLevelType w:val="hybridMultilevel"/>
    <w:tmpl w:val="789EB24C"/>
    <w:lvl w:ilvl="0" w:tplc="C5D63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2C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8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88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0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0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9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89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3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77C3"/>
    <w:multiLevelType w:val="hybridMultilevel"/>
    <w:tmpl w:val="187CA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8FD2B"/>
    <w:multiLevelType w:val="hybridMultilevel"/>
    <w:tmpl w:val="FEE4FD7E"/>
    <w:lvl w:ilvl="0" w:tplc="620E4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24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C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03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C1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0F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26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E9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EFD0F"/>
    <w:multiLevelType w:val="hybridMultilevel"/>
    <w:tmpl w:val="0DDE449C"/>
    <w:lvl w:ilvl="0" w:tplc="7BB41CF4">
      <w:start w:val="19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39A2535E">
      <w:start w:val="1"/>
      <w:numFmt w:val="lowerLetter"/>
      <w:lvlText w:val="%2."/>
      <w:lvlJc w:val="left"/>
      <w:pPr>
        <w:ind w:left="1440" w:hanging="360"/>
      </w:pPr>
    </w:lvl>
    <w:lvl w:ilvl="2" w:tplc="9DCC2394">
      <w:start w:val="1"/>
      <w:numFmt w:val="lowerRoman"/>
      <w:lvlText w:val="%3."/>
      <w:lvlJc w:val="right"/>
      <w:pPr>
        <w:ind w:left="2160" w:hanging="180"/>
      </w:pPr>
    </w:lvl>
    <w:lvl w:ilvl="3" w:tplc="705CEAAA">
      <w:start w:val="1"/>
      <w:numFmt w:val="decimal"/>
      <w:lvlText w:val="%4."/>
      <w:lvlJc w:val="left"/>
      <w:pPr>
        <w:ind w:left="2880" w:hanging="360"/>
      </w:pPr>
    </w:lvl>
    <w:lvl w:ilvl="4" w:tplc="2BE20650">
      <w:start w:val="1"/>
      <w:numFmt w:val="lowerLetter"/>
      <w:lvlText w:val="%5."/>
      <w:lvlJc w:val="left"/>
      <w:pPr>
        <w:ind w:left="3600" w:hanging="360"/>
      </w:pPr>
    </w:lvl>
    <w:lvl w:ilvl="5" w:tplc="64D82CFE">
      <w:start w:val="1"/>
      <w:numFmt w:val="lowerRoman"/>
      <w:lvlText w:val="%6."/>
      <w:lvlJc w:val="right"/>
      <w:pPr>
        <w:ind w:left="4320" w:hanging="180"/>
      </w:pPr>
    </w:lvl>
    <w:lvl w:ilvl="6" w:tplc="55ECD46A">
      <w:start w:val="1"/>
      <w:numFmt w:val="decimal"/>
      <w:lvlText w:val="%7."/>
      <w:lvlJc w:val="left"/>
      <w:pPr>
        <w:ind w:left="5040" w:hanging="360"/>
      </w:pPr>
    </w:lvl>
    <w:lvl w:ilvl="7" w:tplc="91668EA6">
      <w:start w:val="1"/>
      <w:numFmt w:val="lowerLetter"/>
      <w:lvlText w:val="%8."/>
      <w:lvlJc w:val="left"/>
      <w:pPr>
        <w:ind w:left="5760" w:hanging="360"/>
      </w:pPr>
    </w:lvl>
    <w:lvl w:ilvl="8" w:tplc="E56AC3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5310"/>
    <w:multiLevelType w:val="multilevel"/>
    <w:tmpl w:val="E5BAD360"/>
    <w:lvl w:ilvl="0">
      <w:start w:val="108"/>
      <w:numFmt w:val="decimal"/>
      <w:lvlText w:val="%1."/>
      <w:lvlJc w:val="left"/>
      <w:pPr>
        <w:tabs>
          <w:tab w:val="num" w:pos="0"/>
        </w:tabs>
        <w:ind w:left="643" w:hanging="359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5" w15:restartNumberingAfterBreak="0">
    <w:nsid w:val="49266CE0"/>
    <w:multiLevelType w:val="multilevel"/>
    <w:tmpl w:val="757A63A8"/>
    <w:lvl w:ilvl="0">
      <w:start w:val="70"/>
      <w:numFmt w:val="decimal"/>
      <w:lvlText w:val="%1."/>
      <w:lvlJc w:val="left"/>
      <w:pPr>
        <w:tabs>
          <w:tab w:val="num" w:pos="0"/>
        </w:tabs>
        <w:ind w:left="643" w:hanging="359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6" w15:restartNumberingAfterBreak="0">
    <w:nsid w:val="51DD561C"/>
    <w:multiLevelType w:val="hybridMultilevel"/>
    <w:tmpl w:val="4D728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EE0629"/>
    <w:multiLevelType w:val="multilevel"/>
    <w:tmpl w:val="F2265FF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59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54F3F6D6"/>
    <w:multiLevelType w:val="hybridMultilevel"/>
    <w:tmpl w:val="AA3A0552"/>
    <w:lvl w:ilvl="0" w:tplc="9BAECD4A">
      <w:start w:val="1"/>
      <w:numFmt w:val="decimal"/>
      <w:lvlText w:val="•"/>
      <w:lvlJc w:val="left"/>
      <w:pPr>
        <w:ind w:left="720" w:hanging="360"/>
      </w:pPr>
    </w:lvl>
    <w:lvl w:ilvl="1" w:tplc="3698DA3E">
      <w:start w:val="1"/>
      <w:numFmt w:val="lowerLetter"/>
      <w:lvlText w:val="%2."/>
      <w:lvlJc w:val="left"/>
      <w:pPr>
        <w:ind w:left="1440" w:hanging="360"/>
      </w:pPr>
    </w:lvl>
    <w:lvl w:ilvl="2" w:tplc="052A5940">
      <w:start w:val="1"/>
      <w:numFmt w:val="lowerRoman"/>
      <w:lvlText w:val="%3."/>
      <w:lvlJc w:val="right"/>
      <w:pPr>
        <w:ind w:left="2160" w:hanging="180"/>
      </w:pPr>
    </w:lvl>
    <w:lvl w:ilvl="3" w:tplc="4454A88E">
      <w:start w:val="1"/>
      <w:numFmt w:val="decimal"/>
      <w:lvlText w:val="%4."/>
      <w:lvlJc w:val="left"/>
      <w:pPr>
        <w:ind w:left="2880" w:hanging="360"/>
      </w:pPr>
    </w:lvl>
    <w:lvl w:ilvl="4" w:tplc="D832B9B2">
      <w:start w:val="1"/>
      <w:numFmt w:val="lowerLetter"/>
      <w:lvlText w:val="%5."/>
      <w:lvlJc w:val="left"/>
      <w:pPr>
        <w:ind w:left="3600" w:hanging="360"/>
      </w:pPr>
    </w:lvl>
    <w:lvl w:ilvl="5" w:tplc="99C6CCFE">
      <w:start w:val="1"/>
      <w:numFmt w:val="lowerRoman"/>
      <w:lvlText w:val="%6."/>
      <w:lvlJc w:val="right"/>
      <w:pPr>
        <w:ind w:left="4320" w:hanging="180"/>
      </w:pPr>
    </w:lvl>
    <w:lvl w:ilvl="6" w:tplc="CD1431A0">
      <w:start w:val="1"/>
      <w:numFmt w:val="decimal"/>
      <w:lvlText w:val="%7."/>
      <w:lvlJc w:val="left"/>
      <w:pPr>
        <w:ind w:left="5040" w:hanging="360"/>
      </w:pPr>
    </w:lvl>
    <w:lvl w:ilvl="7" w:tplc="37FE9EDA">
      <w:start w:val="1"/>
      <w:numFmt w:val="lowerLetter"/>
      <w:lvlText w:val="%8."/>
      <w:lvlJc w:val="left"/>
      <w:pPr>
        <w:ind w:left="5760" w:hanging="360"/>
      </w:pPr>
    </w:lvl>
    <w:lvl w:ilvl="8" w:tplc="99A02C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2A17C"/>
    <w:multiLevelType w:val="hybridMultilevel"/>
    <w:tmpl w:val="E3F8488E"/>
    <w:lvl w:ilvl="0" w:tplc="E236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5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61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4E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A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4D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511D3"/>
    <w:multiLevelType w:val="multilevel"/>
    <w:tmpl w:val="ECE00D90"/>
    <w:lvl w:ilvl="0">
      <w:start w:val="65"/>
      <w:numFmt w:val="decimal"/>
      <w:lvlText w:val="%1."/>
      <w:lvlJc w:val="left"/>
      <w:pPr>
        <w:tabs>
          <w:tab w:val="num" w:pos="0"/>
        </w:tabs>
        <w:ind w:left="643" w:hanging="359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21" w15:restartNumberingAfterBreak="0">
    <w:nsid w:val="5D7EDC24"/>
    <w:multiLevelType w:val="hybridMultilevel"/>
    <w:tmpl w:val="3B9E8344"/>
    <w:lvl w:ilvl="0" w:tplc="3F0AF748">
      <w:start w:val="18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4558C4A4">
      <w:start w:val="1"/>
      <w:numFmt w:val="lowerLetter"/>
      <w:lvlText w:val="%2."/>
      <w:lvlJc w:val="left"/>
      <w:pPr>
        <w:ind w:left="1440" w:hanging="360"/>
      </w:pPr>
    </w:lvl>
    <w:lvl w:ilvl="2" w:tplc="4C688934">
      <w:start w:val="1"/>
      <w:numFmt w:val="lowerRoman"/>
      <w:lvlText w:val="%3."/>
      <w:lvlJc w:val="right"/>
      <w:pPr>
        <w:ind w:left="2160" w:hanging="180"/>
      </w:pPr>
    </w:lvl>
    <w:lvl w:ilvl="3" w:tplc="F694539C">
      <w:start w:val="1"/>
      <w:numFmt w:val="decimal"/>
      <w:lvlText w:val="%4."/>
      <w:lvlJc w:val="left"/>
      <w:pPr>
        <w:ind w:left="2880" w:hanging="360"/>
      </w:pPr>
    </w:lvl>
    <w:lvl w:ilvl="4" w:tplc="F6E08FCC">
      <w:start w:val="1"/>
      <w:numFmt w:val="lowerLetter"/>
      <w:lvlText w:val="%5."/>
      <w:lvlJc w:val="left"/>
      <w:pPr>
        <w:ind w:left="3600" w:hanging="360"/>
      </w:pPr>
    </w:lvl>
    <w:lvl w:ilvl="5" w:tplc="01E4EA48">
      <w:start w:val="1"/>
      <w:numFmt w:val="lowerRoman"/>
      <w:lvlText w:val="%6."/>
      <w:lvlJc w:val="right"/>
      <w:pPr>
        <w:ind w:left="4320" w:hanging="180"/>
      </w:pPr>
    </w:lvl>
    <w:lvl w:ilvl="6" w:tplc="51B2743C">
      <w:start w:val="1"/>
      <w:numFmt w:val="decimal"/>
      <w:lvlText w:val="%7."/>
      <w:lvlJc w:val="left"/>
      <w:pPr>
        <w:ind w:left="5040" w:hanging="360"/>
      </w:pPr>
    </w:lvl>
    <w:lvl w:ilvl="7" w:tplc="B1743DA0">
      <w:start w:val="1"/>
      <w:numFmt w:val="lowerLetter"/>
      <w:lvlText w:val="%8."/>
      <w:lvlJc w:val="left"/>
      <w:pPr>
        <w:ind w:left="5760" w:hanging="360"/>
      </w:pPr>
    </w:lvl>
    <w:lvl w:ilvl="8" w:tplc="8C426B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F559A"/>
    <w:multiLevelType w:val="hybridMultilevel"/>
    <w:tmpl w:val="DDF83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9A4B33"/>
    <w:multiLevelType w:val="hybridMultilevel"/>
    <w:tmpl w:val="BBA428C2"/>
    <w:lvl w:ilvl="0" w:tplc="1D8A7708">
      <w:start w:val="1"/>
      <w:numFmt w:val="decimal"/>
      <w:lvlText w:val="%1."/>
      <w:lvlJc w:val="left"/>
      <w:pPr>
        <w:ind w:left="720" w:hanging="360"/>
      </w:pPr>
    </w:lvl>
    <w:lvl w:ilvl="1" w:tplc="F95A94B8">
      <w:start w:val="1"/>
      <w:numFmt w:val="lowerLetter"/>
      <w:lvlText w:val="%2."/>
      <w:lvlJc w:val="left"/>
      <w:pPr>
        <w:ind w:left="1440" w:hanging="360"/>
      </w:pPr>
    </w:lvl>
    <w:lvl w:ilvl="2" w:tplc="BE044D04">
      <w:start w:val="1"/>
      <w:numFmt w:val="lowerRoman"/>
      <w:lvlText w:val="%3."/>
      <w:lvlJc w:val="right"/>
      <w:pPr>
        <w:ind w:left="2160" w:hanging="180"/>
      </w:pPr>
    </w:lvl>
    <w:lvl w:ilvl="3" w:tplc="115AFEEC">
      <w:start w:val="1"/>
      <w:numFmt w:val="decimal"/>
      <w:lvlText w:val="%4."/>
      <w:lvlJc w:val="left"/>
      <w:pPr>
        <w:ind w:left="2880" w:hanging="360"/>
      </w:pPr>
    </w:lvl>
    <w:lvl w:ilvl="4" w:tplc="66DC5E8E">
      <w:start w:val="1"/>
      <w:numFmt w:val="lowerLetter"/>
      <w:lvlText w:val="%5."/>
      <w:lvlJc w:val="left"/>
      <w:pPr>
        <w:ind w:left="3600" w:hanging="360"/>
      </w:pPr>
    </w:lvl>
    <w:lvl w:ilvl="5" w:tplc="C1FA191A">
      <w:start w:val="1"/>
      <w:numFmt w:val="lowerRoman"/>
      <w:lvlText w:val="%6."/>
      <w:lvlJc w:val="right"/>
      <w:pPr>
        <w:ind w:left="4320" w:hanging="180"/>
      </w:pPr>
    </w:lvl>
    <w:lvl w:ilvl="6" w:tplc="6BD42BF4">
      <w:start w:val="1"/>
      <w:numFmt w:val="decimal"/>
      <w:lvlText w:val="%7."/>
      <w:lvlJc w:val="left"/>
      <w:pPr>
        <w:ind w:left="5040" w:hanging="360"/>
      </w:pPr>
    </w:lvl>
    <w:lvl w:ilvl="7" w:tplc="7C541648">
      <w:start w:val="1"/>
      <w:numFmt w:val="lowerLetter"/>
      <w:lvlText w:val="%8."/>
      <w:lvlJc w:val="left"/>
      <w:pPr>
        <w:ind w:left="5760" w:hanging="360"/>
      </w:pPr>
    </w:lvl>
    <w:lvl w:ilvl="8" w:tplc="247AC9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6594"/>
    <w:multiLevelType w:val="hybridMultilevel"/>
    <w:tmpl w:val="45E252DA"/>
    <w:lvl w:ilvl="0" w:tplc="DDEC4EA0">
      <w:start w:val="1"/>
      <w:numFmt w:val="decimal"/>
      <w:lvlText w:val="%1."/>
      <w:lvlJc w:val="left"/>
      <w:pPr>
        <w:ind w:left="720" w:hanging="360"/>
      </w:pPr>
    </w:lvl>
    <w:lvl w:ilvl="1" w:tplc="E4760F00">
      <w:start w:val="1"/>
      <w:numFmt w:val="lowerLetter"/>
      <w:lvlText w:val="%2."/>
      <w:lvlJc w:val="left"/>
      <w:pPr>
        <w:ind w:left="1440" w:hanging="360"/>
      </w:pPr>
    </w:lvl>
    <w:lvl w:ilvl="2" w:tplc="F3AA4F16">
      <w:start w:val="1"/>
      <w:numFmt w:val="lowerRoman"/>
      <w:lvlText w:val="%3."/>
      <w:lvlJc w:val="right"/>
      <w:pPr>
        <w:ind w:left="2160" w:hanging="180"/>
      </w:pPr>
    </w:lvl>
    <w:lvl w:ilvl="3" w:tplc="6D003408">
      <w:start w:val="1"/>
      <w:numFmt w:val="decimal"/>
      <w:lvlText w:val="%4."/>
      <w:lvlJc w:val="left"/>
      <w:pPr>
        <w:ind w:left="2880" w:hanging="360"/>
      </w:pPr>
    </w:lvl>
    <w:lvl w:ilvl="4" w:tplc="7C90FF6A">
      <w:start w:val="1"/>
      <w:numFmt w:val="lowerLetter"/>
      <w:lvlText w:val="%5."/>
      <w:lvlJc w:val="left"/>
      <w:pPr>
        <w:ind w:left="3600" w:hanging="360"/>
      </w:pPr>
    </w:lvl>
    <w:lvl w:ilvl="5" w:tplc="463CBC70">
      <w:start w:val="1"/>
      <w:numFmt w:val="lowerRoman"/>
      <w:lvlText w:val="%6."/>
      <w:lvlJc w:val="right"/>
      <w:pPr>
        <w:ind w:left="4320" w:hanging="180"/>
      </w:pPr>
    </w:lvl>
    <w:lvl w:ilvl="6" w:tplc="9410C072">
      <w:start w:val="1"/>
      <w:numFmt w:val="decimal"/>
      <w:lvlText w:val="%7."/>
      <w:lvlJc w:val="left"/>
      <w:pPr>
        <w:ind w:left="5040" w:hanging="360"/>
      </w:pPr>
    </w:lvl>
    <w:lvl w:ilvl="7" w:tplc="7B3ADF2C">
      <w:start w:val="1"/>
      <w:numFmt w:val="lowerLetter"/>
      <w:lvlText w:val="%8."/>
      <w:lvlJc w:val="left"/>
      <w:pPr>
        <w:ind w:left="5760" w:hanging="360"/>
      </w:pPr>
    </w:lvl>
    <w:lvl w:ilvl="8" w:tplc="5E22AD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6F68"/>
    <w:multiLevelType w:val="hybridMultilevel"/>
    <w:tmpl w:val="187CA9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C480DA"/>
    <w:multiLevelType w:val="hybridMultilevel"/>
    <w:tmpl w:val="5C6062A8"/>
    <w:lvl w:ilvl="0" w:tplc="49B4EC86">
      <w:start w:val="1"/>
      <w:numFmt w:val="decimal"/>
      <w:lvlText w:val="%1."/>
      <w:lvlJc w:val="left"/>
      <w:pPr>
        <w:ind w:left="720" w:hanging="360"/>
      </w:pPr>
    </w:lvl>
    <w:lvl w:ilvl="1" w:tplc="8CD2C4A0">
      <w:start w:val="1"/>
      <w:numFmt w:val="lowerLetter"/>
      <w:lvlText w:val="%2."/>
      <w:lvlJc w:val="left"/>
      <w:pPr>
        <w:ind w:left="1440" w:hanging="360"/>
      </w:pPr>
    </w:lvl>
    <w:lvl w:ilvl="2" w:tplc="B2FE2B96">
      <w:start w:val="1"/>
      <w:numFmt w:val="lowerRoman"/>
      <w:lvlText w:val="%3."/>
      <w:lvlJc w:val="right"/>
      <w:pPr>
        <w:ind w:left="2160" w:hanging="180"/>
      </w:pPr>
    </w:lvl>
    <w:lvl w:ilvl="3" w:tplc="9640949A">
      <w:start w:val="1"/>
      <w:numFmt w:val="decimal"/>
      <w:lvlText w:val="%4."/>
      <w:lvlJc w:val="left"/>
      <w:pPr>
        <w:ind w:left="2880" w:hanging="360"/>
      </w:pPr>
    </w:lvl>
    <w:lvl w:ilvl="4" w:tplc="5608F86E">
      <w:start w:val="1"/>
      <w:numFmt w:val="lowerLetter"/>
      <w:lvlText w:val="%5."/>
      <w:lvlJc w:val="left"/>
      <w:pPr>
        <w:ind w:left="3600" w:hanging="360"/>
      </w:pPr>
    </w:lvl>
    <w:lvl w:ilvl="5" w:tplc="1D546264">
      <w:start w:val="1"/>
      <w:numFmt w:val="lowerRoman"/>
      <w:lvlText w:val="%6."/>
      <w:lvlJc w:val="right"/>
      <w:pPr>
        <w:ind w:left="4320" w:hanging="180"/>
      </w:pPr>
    </w:lvl>
    <w:lvl w:ilvl="6" w:tplc="1C66C30E">
      <w:start w:val="1"/>
      <w:numFmt w:val="decimal"/>
      <w:lvlText w:val="%7."/>
      <w:lvlJc w:val="left"/>
      <w:pPr>
        <w:ind w:left="5040" w:hanging="360"/>
      </w:pPr>
    </w:lvl>
    <w:lvl w:ilvl="7" w:tplc="6C2AE156">
      <w:start w:val="1"/>
      <w:numFmt w:val="lowerLetter"/>
      <w:lvlText w:val="%8."/>
      <w:lvlJc w:val="left"/>
      <w:pPr>
        <w:ind w:left="5760" w:hanging="360"/>
      </w:pPr>
    </w:lvl>
    <w:lvl w:ilvl="8" w:tplc="1E563B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0342"/>
    <w:multiLevelType w:val="hybridMultilevel"/>
    <w:tmpl w:val="07DA7588"/>
    <w:lvl w:ilvl="0" w:tplc="C7B02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93EB8"/>
    <w:multiLevelType w:val="multilevel"/>
    <w:tmpl w:val="B60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8DB07"/>
    <w:multiLevelType w:val="hybridMultilevel"/>
    <w:tmpl w:val="0C4C227C"/>
    <w:lvl w:ilvl="0" w:tplc="4A60CF12">
      <w:start w:val="1"/>
      <w:numFmt w:val="decimal"/>
      <w:lvlText w:val="%1."/>
      <w:lvlJc w:val="left"/>
      <w:pPr>
        <w:ind w:left="720" w:hanging="360"/>
      </w:pPr>
    </w:lvl>
    <w:lvl w:ilvl="1" w:tplc="66B24226">
      <w:start w:val="1"/>
      <w:numFmt w:val="lowerLetter"/>
      <w:lvlText w:val="%2."/>
      <w:lvlJc w:val="left"/>
      <w:pPr>
        <w:ind w:left="1440" w:hanging="360"/>
      </w:pPr>
    </w:lvl>
    <w:lvl w:ilvl="2" w:tplc="09CE81FC">
      <w:start w:val="1"/>
      <w:numFmt w:val="lowerRoman"/>
      <w:lvlText w:val="%3."/>
      <w:lvlJc w:val="right"/>
      <w:pPr>
        <w:ind w:left="2160" w:hanging="180"/>
      </w:pPr>
    </w:lvl>
    <w:lvl w:ilvl="3" w:tplc="31166BF8">
      <w:start w:val="1"/>
      <w:numFmt w:val="decimal"/>
      <w:lvlText w:val="%4."/>
      <w:lvlJc w:val="left"/>
      <w:pPr>
        <w:ind w:left="2880" w:hanging="360"/>
      </w:pPr>
    </w:lvl>
    <w:lvl w:ilvl="4" w:tplc="762866D8">
      <w:start w:val="1"/>
      <w:numFmt w:val="lowerLetter"/>
      <w:lvlText w:val="%5."/>
      <w:lvlJc w:val="left"/>
      <w:pPr>
        <w:ind w:left="3600" w:hanging="360"/>
      </w:pPr>
    </w:lvl>
    <w:lvl w:ilvl="5" w:tplc="ECB446E8">
      <w:start w:val="1"/>
      <w:numFmt w:val="lowerRoman"/>
      <w:lvlText w:val="%6."/>
      <w:lvlJc w:val="right"/>
      <w:pPr>
        <w:ind w:left="4320" w:hanging="180"/>
      </w:pPr>
    </w:lvl>
    <w:lvl w:ilvl="6" w:tplc="B22AA4BA">
      <w:start w:val="1"/>
      <w:numFmt w:val="decimal"/>
      <w:lvlText w:val="%7."/>
      <w:lvlJc w:val="left"/>
      <w:pPr>
        <w:ind w:left="5040" w:hanging="360"/>
      </w:pPr>
    </w:lvl>
    <w:lvl w:ilvl="7" w:tplc="231ADF82">
      <w:start w:val="1"/>
      <w:numFmt w:val="lowerLetter"/>
      <w:lvlText w:val="%8."/>
      <w:lvlJc w:val="left"/>
      <w:pPr>
        <w:ind w:left="5760" w:hanging="360"/>
      </w:pPr>
    </w:lvl>
    <w:lvl w:ilvl="8" w:tplc="FB5CC52A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11337">
    <w:abstractNumId w:val="19"/>
  </w:num>
  <w:num w:numId="2" w16cid:durableId="1299143936">
    <w:abstractNumId w:val="13"/>
  </w:num>
  <w:num w:numId="3" w16cid:durableId="1446729668">
    <w:abstractNumId w:val="12"/>
  </w:num>
  <w:num w:numId="4" w16cid:durableId="1818761925">
    <w:abstractNumId w:val="21"/>
  </w:num>
  <w:num w:numId="5" w16cid:durableId="1717972896">
    <w:abstractNumId w:val="6"/>
  </w:num>
  <w:num w:numId="6" w16cid:durableId="1647199057">
    <w:abstractNumId w:val="10"/>
  </w:num>
  <w:num w:numId="7" w16cid:durableId="1471171861">
    <w:abstractNumId w:val="23"/>
  </w:num>
  <w:num w:numId="8" w16cid:durableId="1685937600">
    <w:abstractNumId w:val="3"/>
  </w:num>
  <w:num w:numId="9" w16cid:durableId="187792296">
    <w:abstractNumId w:val="26"/>
  </w:num>
  <w:num w:numId="10" w16cid:durableId="1308587818">
    <w:abstractNumId w:val="24"/>
  </w:num>
  <w:num w:numId="11" w16cid:durableId="1764178900">
    <w:abstractNumId w:val="29"/>
  </w:num>
  <w:num w:numId="12" w16cid:durableId="1164126415">
    <w:abstractNumId w:val="18"/>
  </w:num>
  <w:num w:numId="13" w16cid:durableId="340858052">
    <w:abstractNumId w:val="16"/>
  </w:num>
  <w:num w:numId="14" w16cid:durableId="853542647">
    <w:abstractNumId w:val="22"/>
  </w:num>
  <w:num w:numId="15" w16cid:durableId="998580562">
    <w:abstractNumId w:val="4"/>
  </w:num>
  <w:num w:numId="16" w16cid:durableId="2094619497">
    <w:abstractNumId w:val="1"/>
  </w:num>
  <w:num w:numId="17" w16cid:durableId="1309744817">
    <w:abstractNumId w:val="2"/>
  </w:num>
  <w:num w:numId="18" w16cid:durableId="1164052251">
    <w:abstractNumId w:val="17"/>
  </w:num>
  <w:num w:numId="19" w16cid:durableId="1805656793">
    <w:abstractNumId w:val="20"/>
  </w:num>
  <w:num w:numId="20" w16cid:durableId="1522233061">
    <w:abstractNumId w:val="14"/>
  </w:num>
  <w:num w:numId="21" w16cid:durableId="1296058203">
    <w:abstractNumId w:val="15"/>
  </w:num>
  <w:num w:numId="22" w16cid:durableId="483856356">
    <w:abstractNumId w:val="27"/>
  </w:num>
  <w:num w:numId="23" w16cid:durableId="1977176219">
    <w:abstractNumId w:val="25"/>
  </w:num>
  <w:num w:numId="24" w16cid:durableId="579097938">
    <w:abstractNumId w:val="7"/>
  </w:num>
  <w:num w:numId="25" w16cid:durableId="727145945">
    <w:abstractNumId w:val="8"/>
  </w:num>
  <w:num w:numId="26" w16cid:durableId="2085715366">
    <w:abstractNumId w:val="5"/>
  </w:num>
  <w:num w:numId="27" w16cid:durableId="102194500">
    <w:abstractNumId w:val="28"/>
  </w:num>
  <w:num w:numId="28" w16cid:durableId="1180002586">
    <w:abstractNumId w:val="9"/>
  </w:num>
  <w:num w:numId="29" w16cid:durableId="1041630276">
    <w:abstractNumId w:val="11"/>
  </w:num>
  <w:num w:numId="30" w16cid:durableId="346560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6547BF"/>
    <w:rsid w:val="000015DC"/>
    <w:rsid w:val="0000370F"/>
    <w:rsid w:val="0000527F"/>
    <w:rsid w:val="00010148"/>
    <w:rsid w:val="00013EA5"/>
    <w:rsid w:val="00015E2B"/>
    <w:rsid w:val="00023178"/>
    <w:rsid w:val="0002411F"/>
    <w:rsid w:val="000272B9"/>
    <w:rsid w:val="000318FE"/>
    <w:rsid w:val="00032765"/>
    <w:rsid w:val="00044D00"/>
    <w:rsid w:val="00046927"/>
    <w:rsid w:val="00046BCC"/>
    <w:rsid w:val="00046CFA"/>
    <w:rsid w:val="00050126"/>
    <w:rsid w:val="00050600"/>
    <w:rsid w:val="00051026"/>
    <w:rsid w:val="000535B4"/>
    <w:rsid w:val="00062B92"/>
    <w:rsid w:val="00064379"/>
    <w:rsid w:val="00065686"/>
    <w:rsid w:val="000718BB"/>
    <w:rsid w:val="0007244A"/>
    <w:rsid w:val="000757B7"/>
    <w:rsid w:val="000816E7"/>
    <w:rsid w:val="00083956"/>
    <w:rsid w:val="00090051"/>
    <w:rsid w:val="00094973"/>
    <w:rsid w:val="00095245"/>
    <w:rsid w:val="000952C1"/>
    <w:rsid w:val="000955B5"/>
    <w:rsid w:val="000A15DC"/>
    <w:rsid w:val="000A1DD5"/>
    <w:rsid w:val="000A34C1"/>
    <w:rsid w:val="000A692C"/>
    <w:rsid w:val="000A6C4D"/>
    <w:rsid w:val="000B69BF"/>
    <w:rsid w:val="000B7816"/>
    <w:rsid w:val="000C0958"/>
    <w:rsid w:val="000C13D7"/>
    <w:rsid w:val="000C2893"/>
    <w:rsid w:val="000C39C3"/>
    <w:rsid w:val="000D231D"/>
    <w:rsid w:val="000D25BA"/>
    <w:rsid w:val="000E1118"/>
    <w:rsid w:val="000E6728"/>
    <w:rsid w:val="000F2EC7"/>
    <w:rsid w:val="000F70FB"/>
    <w:rsid w:val="001072CA"/>
    <w:rsid w:val="0010772C"/>
    <w:rsid w:val="00110611"/>
    <w:rsid w:val="00114E1C"/>
    <w:rsid w:val="00117606"/>
    <w:rsid w:val="00121767"/>
    <w:rsid w:val="00124405"/>
    <w:rsid w:val="0012511C"/>
    <w:rsid w:val="001251BF"/>
    <w:rsid w:val="0012786E"/>
    <w:rsid w:val="00130E28"/>
    <w:rsid w:val="00130FA2"/>
    <w:rsid w:val="0013169D"/>
    <w:rsid w:val="00132343"/>
    <w:rsid w:val="00132666"/>
    <w:rsid w:val="00135D1E"/>
    <w:rsid w:val="00137097"/>
    <w:rsid w:val="00140F39"/>
    <w:rsid w:val="00144FB6"/>
    <w:rsid w:val="00151A42"/>
    <w:rsid w:val="00154972"/>
    <w:rsid w:val="00156A3C"/>
    <w:rsid w:val="00160FC8"/>
    <w:rsid w:val="00167D01"/>
    <w:rsid w:val="0017060B"/>
    <w:rsid w:val="00171F43"/>
    <w:rsid w:val="0017466F"/>
    <w:rsid w:val="001802A8"/>
    <w:rsid w:val="00182853"/>
    <w:rsid w:val="001849CC"/>
    <w:rsid w:val="00186255"/>
    <w:rsid w:val="001870BD"/>
    <w:rsid w:val="00193AEB"/>
    <w:rsid w:val="00197C82"/>
    <w:rsid w:val="001A11BC"/>
    <w:rsid w:val="001A1338"/>
    <w:rsid w:val="001A2F83"/>
    <w:rsid w:val="001A4909"/>
    <w:rsid w:val="001A7BE1"/>
    <w:rsid w:val="001B23A3"/>
    <w:rsid w:val="001B341E"/>
    <w:rsid w:val="001C2B07"/>
    <w:rsid w:val="001C5385"/>
    <w:rsid w:val="001C5CE1"/>
    <w:rsid w:val="001D08BC"/>
    <w:rsid w:val="001D0B2B"/>
    <w:rsid w:val="001F4E14"/>
    <w:rsid w:val="001F5134"/>
    <w:rsid w:val="002043A7"/>
    <w:rsid w:val="00206446"/>
    <w:rsid w:val="0021023D"/>
    <w:rsid w:val="0021235F"/>
    <w:rsid w:val="00225EB6"/>
    <w:rsid w:val="0022791C"/>
    <w:rsid w:val="00233A56"/>
    <w:rsid w:val="00233EBF"/>
    <w:rsid w:val="0023550E"/>
    <w:rsid w:val="00241508"/>
    <w:rsid w:val="00243EEF"/>
    <w:rsid w:val="00247C6B"/>
    <w:rsid w:val="002534CE"/>
    <w:rsid w:val="00270586"/>
    <w:rsid w:val="00270907"/>
    <w:rsid w:val="00272790"/>
    <w:rsid w:val="0029685B"/>
    <w:rsid w:val="00297C73"/>
    <w:rsid w:val="002A07CC"/>
    <w:rsid w:val="002A082F"/>
    <w:rsid w:val="002A0885"/>
    <w:rsid w:val="002A2306"/>
    <w:rsid w:val="002A57E3"/>
    <w:rsid w:val="002A6F90"/>
    <w:rsid w:val="002B2A48"/>
    <w:rsid w:val="002B5346"/>
    <w:rsid w:val="002B5AEB"/>
    <w:rsid w:val="002C5F62"/>
    <w:rsid w:val="002E3997"/>
    <w:rsid w:val="002E624C"/>
    <w:rsid w:val="002E7760"/>
    <w:rsid w:val="002F1A4E"/>
    <w:rsid w:val="002F609A"/>
    <w:rsid w:val="00304E41"/>
    <w:rsid w:val="00307B10"/>
    <w:rsid w:val="00311D7D"/>
    <w:rsid w:val="00313AFF"/>
    <w:rsid w:val="003145A4"/>
    <w:rsid w:val="0031460F"/>
    <w:rsid w:val="0031558E"/>
    <w:rsid w:val="0032178F"/>
    <w:rsid w:val="00322FD8"/>
    <w:rsid w:val="0032331A"/>
    <w:rsid w:val="00331922"/>
    <w:rsid w:val="00333EC7"/>
    <w:rsid w:val="0033736C"/>
    <w:rsid w:val="003429B8"/>
    <w:rsid w:val="00350D0D"/>
    <w:rsid w:val="003528FB"/>
    <w:rsid w:val="00352997"/>
    <w:rsid w:val="00353881"/>
    <w:rsid w:val="003555E7"/>
    <w:rsid w:val="0035612F"/>
    <w:rsid w:val="00357E58"/>
    <w:rsid w:val="00361AA9"/>
    <w:rsid w:val="00361E7F"/>
    <w:rsid w:val="00370E0E"/>
    <w:rsid w:val="00373FA7"/>
    <w:rsid w:val="00382BED"/>
    <w:rsid w:val="0038318C"/>
    <w:rsid w:val="00384089"/>
    <w:rsid w:val="00386095"/>
    <w:rsid w:val="003867ED"/>
    <w:rsid w:val="00387F5D"/>
    <w:rsid w:val="0039242B"/>
    <w:rsid w:val="003A0F1A"/>
    <w:rsid w:val="003A1F75"/>
    <w:rsid w:val="003B1D87"/>
    <w:rsid w:val="003B3DE8"/>
    <w:rsid w:val="003B537D"/>
    <w:rsid w:val="003B78D1"/>
    <w:rsid w:val="003C25D4"/>
    <w:rsid w:val="003C5E31"/>
    <w:rsid w:val="003C698D"/>
    <w:rsid w:val="003D61F6"/>
    <w:rsid w:val="003E61B6"/>
    <w:rsid w:val="003F045A"/>
    <w:rsid w:val="003F3276"/>
    <w:rsid w:val="00402C42"/>
    <w:rsid w:val="004050C3"/>
    <w:rsid w:val="00407408"/>
    <w:rsid w:val="00407BA3"/>
    <w:rsid w:val="00407BF0"/>
    <w:rsid w:val="00414CC7"/>
    <w:rsid w:val="00414CD8"/>
    <w:rsid w:val="00414FB0"/>
    <w:rsid w:val="00416742"/>
    <w:rsid w:val="00420CB4"/>
    <w:rsid w:val="00422B11"/>
    <w:rsid w:val="00430AD8"/>
    <w:rsid w:val="00431B7F"/>
    <w:rsid w:val="00431CDE"/>
    <w:rsid w:val="00434D93"/>
    <w:rsid w:val="00436DDA"/>
    <w:rsid w:val="00445106"/>
    <w:rsid w:val="004479D2"/>
    <w:rsid w:val="00447E97"/>
    <w:rsid w:val="004500E1"/>
    <w:rsid w:val="00452C72"/>
    <w:rsid w:val="0045484A"/>
    <w:rsid w:val="0045492D"/>
    <w:rsid w:val="0045773A"/>
    <w:rsid w:val="00463193"/>
    <w:rsid w:val="0046573F"/>
    <w:rsid w:val="0047250A"/>
    <w:rsid w:val="0047320E"/>
    <w:rsid w:val="004748CB"/>
    <w:rsid w:val="00475A2F"/>
    <w:rsid w:val="00476750"/>
    <w:rsid w:val="00480CB9"/>
    <w:rsid w:val="004860A4"/>
    <w:rsid w:val="00487480"/>
    <w:rsid w:val="00487FF4"/>
    <w:rsid w:val="00491A91"/>
    <w:rsid w:val="00497786"/>
    <w:rsid w:val="004A0AE3"/>
    <w:rsid w:val="004B11CA"/>
    <w:rsid w:val="004B2679"/>
    <w:rsid w:val="004B68BC"/>
    <w:rsid w:val="004B6D1D"/>
    <w:rsid w:val="004C088B"/>
    <w:rsid w:val="004C2DEC"/>
    <w:rsid w:val="004C7EF3"/>
    <w:rsid w:val="004D1B55"/>
    <w:rsid w:val="004D1D7E"/>
    <w:rsid w:val="004D3202"/>
    <w:rsid w:val="004D72F1"/>
    <w:rsid w:val="004E38F3"/>
    <w:rsid w:val="004E4702"/>
    <w:rsid w:val="004E53ED"/>
    <w:rsid w:val="004E5F43"/>
    <w:rsid w:val="004E7EC0"/>
    <w:rsid w:val="005016EB"/>
    <w:rsid w:val="00502BBF"/>
    <w:rsid w:val="00505189"/>
    <w:rsid w:val="005068D0"/>
    <w:rsid w:val="00510F16"/>
    <w:rsid w:val="0051173C"/>
    <w:rsid w:val="00511E58"/>
    <w:rsid w:val="00516205"/>
    <w:rsid w:val="00521D61"/>
    <w:rsid w:val="00522F58"/>
    <w:rsid w:val="00523317"/>
    <w:rsid w:val="005247AE"/>
    <w:rsid w:val="00526A23"/>
    <w:rsid w:val="00527651"/>
    <w:rsid w:val="00530621"/>
    <w:rsid w:val="00531848"/>
    <w:rsid w:val="005329C3"/>
    <w:rsid w:val="00547F9D"/>
    <w:rsid w:val="0055298D"/>
    <w:rsid w:val="0055559E"/>
    <w:rsid w:val="0056409B"/>
    <w:rsid w:val="0057260B"/>
    <w:rsid w:val="005862C8"/>
    <w:rsid w:val="00586CB6"/>
    <w:rsid w:val="005900C9"/>
    <w:rsid w:val="00590B26"/>
    <w:rsid w:val="0059503A"/>
    <w:rsid w:val="0059600F"/>
    <w:rsid w:val="005A08EE"/>
    <w:rsid w:val="005A0ECC"/>
    <w:rsid w:val="005B19D3"/>
    <w:rsid w:val="005B4B9A"/>
    <w:rsid w:val="005B602C"/>
    <w:rsid w:val="005B60A1"/>
    <w:rsid w:val="005B732D"/>
    <w:rsid w:val="005B75B0"/>
    <w:rsid w:val="005C53FD"/>
    <w:rsid w:val="005D0656"/>
    <w:rsid w:val="005D3C8C"/>
    <w:rsid w:val="005D42EB"/>
    <w:rsid w:val="005D516A"/>
    <w:rsid w:val="005D79B8"/>
    <w:rsid w:val="005E28ED"/>
    <w:rsid w:val="005E35FE"/>
    <w:rsid w:val="005E5C75"/>
    <w:rsid w:val="005E7150"/>
    <w:rsid w:val="005E7684"/>
    <w:rsid w:val="005E771B"/>
    <w:rsid w:val="005E7B66"/>
    <w:rsid w:val="005F53AD"/>
    <w:rsid w:val="005F5CFA"/>
    <w:rsid w:val="005F6A01"/>
    <w:rsid w:val="005F74C5"/>
    <w:rsid w:val="00600D69"/>
    <w:rsid w:val="00600F88"/>
    <w:rsid w:val="006025FF"/>
    <w:rsid w:val="006078DD"/>
    <w:rsid w:val="00610981"/>
    <w:rsid w:val="006121D0"/>
    <w:rsid w:val="00612528"/>
    <w:rsid w:val="00620E05"/>
    <w:rsid w:val="006225A1"/>
    <w:rsid w:val="00622E78"/>
    <w:rsid w:val="00635F50"/>
    <w:rsid w:val="006375C1"/>
    <w:rsid w:val="00637958"/>
    <w:rsid w:val="00643F99"/>
    <w:rsid w:val="0064486D"/>
    <w:rsid w:val="00651A10"/>
    <w:rsid w:val="00654981"/>
    <w:rsid w:val="00661B05"/>
    <w:rsid w:val="00666575"/>
    <w:rsid w:val="00666B46"/>
    <w:rsid w:val="00666C92"/>
    <w:rsid w:val="00667EDB"/>
    <w:rsid w:val="00670B7A"/>
    <w:rsid w:val="00671776"/>
    <w:rsid w:val="006722A8"/>
    <w:rsid w:val="00675420"/>
    <w:rsid w:val="006766F6"/>
    <w:rsid w:val="00677314"/>
    <w:rsid w:val="006941EF"/>
    <w:rsid w:val="00697687"/>
    <w:rsid w:val="006976AA"/>
    <w:rsid w:val="006A0F0B"/>
    <w:rsid w:val="006A5A08"/>
    <w:rsid w:val="006A5DCB"/>
    <w:rsid w:val="006A65E5"/>
    <w:rsid w:val="006A66D6"/>
    <w:rsid w:val="006A7736"/>
    <w:rsid w:val="006B057C"/>
    <w:rsid w:val="006B1473"/>
    <w:rsid w:val="006B1BCF"/>
    <w:rsid w:val="006B2A79"/>
    <w:rsid w:val="006B4F4A"/>
    <w:rsid w:val="006C170D"/>
    <w:rsid w:val="006C2079"/>
    <w:rsid w:val="006C2153"/>
    <w:rsid w:val="006C2481"/>
    <w:rsid w:val="006C25BC"/>
    <w:rsid w:val="006D196B"/>
    <w:rsid w:val="006D3E23"/>
    <w:rsid w:val="006E3D32"/>
    <w:rsid w:val="006E3D51"/>
    <w:rsid w:val="006E419E"/>
    <w:rsid w:val="006E51BD"/>
    <w:rsid w:val="006E5337"/>
    <w:rsid w:val="006F1448"/>
    <w:rsid w:val="006F19B9"/>
    <w:rsid w:val="006F4B4E"/>
    <w:rsid w:val="006F4CCD"/>
    <w:rsid w:val="006F4CD2"/>
    <w:rsid w:val="006F5FD3"/>
    <w:rsid w:val="006F62AC"/>
    <w:rsid w:val="00700DD8"/>
    <w:rsid w:val="00705597"/>
    <w:rsid w:val="00706439"/>
    <w:rsid w:val="00706C3D"/>
    <w:rsid w:val="00707FF1"/>
    <w:rsid w:val="00711FE8"/>
    <w:rsid w:val="00714248"/>
    <w:rsid w:val="00714822"/>
    <w:rsid w:val="00717E03"/>
    <w:rsid w:val="007215A0"/>
    <w:rsid w:val="007217C6"/>
    <w:rsid w:val="0072374F"/>
    <w:rsid w:val="00723D18"/>
    <w:rsid w:val="00730626"/>
    <w:rsid w:val="00731C5D"/>
    <w:rsid w:val="0073484B"/>
    <w:rsid w:val="007366BF"/>
    <w:rsid w:val="00737D99"/>
    <w:rsid w:val="00742550"/>
    <w:rsid w:val="0074705D"/>
    <w:rsid w:val="0075488D"/>
    <w:rsid w:val="0075790D"/>
    <w:rsid w:val="00760015"/>
    <w:rsid w:val="007619CC"/>
    <w:rsid w:val="007626AC"/>
    <w:rsid w:val="00766C9D"/>
    <w:rsid w:val="007726BD"/>
    <w:rsid w:val="007813FB"/>
    <w:rsid w:val="00784DB4"/>
    <w:rsid w:val="00786309"/>
    <w:rsid w:val="00793275"/>
    <w:rsid w:val="00795D4E"/>
    <w:rsid w:val="007962EC"/>
    <w:rsid w:val="007A04E4"/>
    <w:rsid w:val="007A420B"/>
    <w:rsid w:val="007A42E8"/>
    <w:rsid w:val="007B3E45"/>
    <w:rsid w:val="007C1286"/>
    <w:rsid w:val="007C4D94"/>
    <w:rsid w:val="007D035E"/>
    <w:rsid w:val="007D038B"/>
    <w:rsid w:val="007D1841"/>
    <w:rsid w:val="007D3530"/>
    <w:rsid w:val="007D7BBD"/>
    <w:rsid w:val="007E1EE4"/>
    <w:rsid w:val="007E71C1"/>
    <w:rsid w:val="007F2FCD"/>
    <w:rsid w:val="007F640A"/>
    <w:rsid w:val="00807D18"/>
    <w:rsid w:val="00811ADB"/>
    <w:rsid w:val="008126EB"/>
    <w:rsid w:val="008158AE"/>
    <w:rsid w:val="0082170D"/>
    <w:rsid w:val="008229BD"/>
    <w:rsid w:val="00823094"/>
    <w:rsid w:val="008245B7"/>
    <w:rsid w:val="00827C03"/>
    <w:rsid w:val="00830201"/>
    <w:rsid w:val="0083021B"/>
    <w:rsid w:val="00830245"/>
    <w:rsid w:val="00831BF8"/>
    <w:rsid w:val="00832A79"/>
    <w:rsid w:val="008417B9"/>
    <w:rsid w:val="00844E31"/>
    <w:rsid w:val="00854287"/>
    <w:rsid w:val="008601CE"/>
    <w:rsid w:val="00860FFC"/>
    <w:rsid w:val="00861DF6"/>
    <w:rsid w:val="00862EBF"/>
    <w:rsid w:val="00875331"/>
    <w:rsid w:val="00875D82"/>
    <w:rsid w:val="00876886"/>
    <w:rsid w:val="00876E3D"/>
    <w:rsid w:val="00882BFF"/>
    <w:rsid w:val="0088548D"/>
    <w:rsid w:val="008857AE"/>
    <w:rsid w:val="008859AA"/>
    <w:rsid w:val="0089397B"/>
    <w:rsid w:val="0089511D"/>
    <w:rsid w:val="00896923"/>
    <w:rsid w:val="00896F4C"/>
    <w:rsid w:val="008A040E"/>
    <w:rsid w:val="008A1E38"/>
    <w:rsid w:val="008B04FE"/>
    <w:rsid w:val="008B6D84"/>
    <w:rsid w:val="008C050F"/>
    <w:rsid w:val="008C17D3"/>
    <w:rsid w:val="008C381A"/>
    <w:rsid w:val="008C423D"/>
    <w:rsid w:val="008C728F"/>
    <w:rsid w:val="008C76CE"/>
    <w:rsid w:val="008D3204"/>
    <w:rsid w:val="008D4B8F"/>
    <w:rsid w:val="008D4D2C"/>
    <w:rsid w:val="008D5F74"/>
    <w:rsid w:val="008D76B1"/>
    <w:rsid w:val="008E05C5"/>
    <w:rsid w:val="008E23AA"/>
    <w:rsid w:val="008E2A3E"/>
    <w:rsid w:val="008E3F8A"/>
    <w:rsid w:val="008E7045"/>
    <w:rsid w:val="009038B4"/>
    <w:rsid w:val="00911922"/>
    <w:rsid w:val="00916155"/>
    <w:rsid w:val="00920737"/>
    <w:rsid w:val="0092624E"/>
    <w:rsid w:val="00927D51"/>
    <w:rsid w:val="0093288A"/>
    <w:rsid w:val="0093474E"/>
    <w:rsid w:val="009373F3"/>
    <w:rsid w:val="00937CCD"/>
    <w:rsid w:val="00941487"/>
    <w:rsid w:val="0094156A"/>
    <w:rsid w:val="0095120B"/>
    <w:rsid w:val="0095603B"/>
    <w:rsid w:val="0096332A"/>
    <w:rsid w:val="00965F48"/>
    <w:rsid w:val="009666E6"/>
    <w:rsid w:val="00972215"/>
    <w:rsid w:val="00977102"/>
    <w:rsid w:val="009871A4"/>
    <w:rsid w:val="0099352F"/>
    <w:rsid w:val="009A06C3"/>
    <w:rsid w:val="009A1125"/>
    <w:rsid w:val="009A3A63"/>
    <w:rsid w:val="009A62D4"/>
    <w:rsid w:val="009A79E4"/>
    <w:rsid w:val="009B2D86"/>
    <w:rsid w:val="009C00FA"/>
    <w:rsid w:val="009C0DD2"/>
    <w:rsid w:val="009C2B0A"/>
    <w:rsid w:val="009C2F7C"/>
    <w:rsid w:val="009D2C4F"/>
    <w:rsid w:val="009D388D"/>
    <w:rsid w:val="009D4B53"/>
    <w:rsid w:val="009D4DA2"/>
    <w:rsid w:val="009D51E3"/>
    <w:rsid w:val="009D697D"/>
    <w:rsid w:val="009E1A8B"/>
    <w:rsid w:val="009E1DFD"/>
    <w:rsid w:val="009E2C62"/>
    <w:rsid w:val="009E3B5D"/>
    <w:rsid w:val="009E4CE5"/>
    <w:rsid w:val="009E7E9F"/>
    <w:rsid w:val="009F06DB"/>
    <w:rsid w:val="009F1146"/>
    <w:rsid w:val="009F223F"/>
    <w:rsid w:val="009F7765"/>
    <w:rsid w:val="00A04ACF"/>
    <w:rsid w:val="00A04EF7"/>
    <w:rsid w:val="00A11240"/>
    <w:rsid w:val="00A1342D"/>
    <w:rsid w:val="00A16CA6"/>
    <w:rsid w:val="00A17016"/>
    <w:rsid w:val="00A230E1"/>
    <w:rsid w:val="00A2446F"/>
    <w:rsid w:val="00A2483A"/>
    <w:rsid w:val="00A257B1"/>
    <w:rsid w:val="00A3275A"/>
    <w:rsid w:val="00A33A49"/>
    <w:rsid w:val="00A340F7"/>
    <w:rsid w:val="00A35E09"/>
    <w:rsid w:val="00A37848"/>
    <w:rsid w:val="00A4438B"/>
    <w:rsid w:val="00A51F54"/>
    <w:rsid w:val="00A616BC"/>
    <w:rsid w:val="00A63247"/>
    <w:rsid w:val="00A63D10"/>
    <w:rsid w:val="00A6756B"/>
    <w:rsid w:val="00A701C6"/>
    <w:rsid w:val="00A70C6B"/>
    <w:rsid w:val="00A71B27"/>
    <w:rsid w:val="00A77DD1"/>
    <w:rsid w:val="00A80971"/>
    <w:rsid w:val="00A8440D"/>
    <w:rsid w:val="00A919C3"/>
    <w:rsid w:val="00A93556"/>
    <w:rsid w:val="00A94AE0"/>
    <w:rsid w:val="00A94B12"/>
    <w:rsid w:val="00A97CEA"/>
    <w:rsid w:val="00AA0793"/>
    <w:rsid w:val="00AA1310"/>
    <w:rsid w:val="00AA4126"/>
    <w:rsid w:val="00AA49C8"/>
    <w:rsid w:val="00AB01AA"/>
    <w:rsid w:val="00AB042A"/>
    <w:rsid w:val="00AC04DD"/>
    <w:rsid w:val="00AC0982"/>
    <w:rsid w:val="00AC1574"/>
    <w:rsid w:val="00AC293D"/>
    <w:rsid w:val="00AC5D1D"/>
    <w:rsid w:val="00AD4133"/>
    <w:rsid w:val="00AE02C1"/>
    <w:rsid w:val="00AE250D"/>
    <w:rsid w:val="00AE4712"/>
    <w:rsid w:val="00AE4B62"/>
    <w:rsid w:val="00AE7B43"/>
    <w:rsid w:val="00AF27E3"/>
    <w:rsid w:val="00AF4ACB"/>
    <w:rsid w:val="00AF4DC4"/>
    <w:rsid w:val="00AF7567"/>
    <w:rsid w:val="00AF75F5"/>
    <w:rsid w:val="00AF7738"/>
    <w:rsid w:val="00B03F90"/>
    <w:rsid w:val="00B12578"/>
    <w:rsid w:val="00B14033"/>
    <w:rsid w:val="00B14F3B"/>
    <w:rsid w:val="00B178AC"/>
    <w:rsid w:val="00B21199"/>
    <w:rsid w:val="00B2135E"/>
    <w:rsid w:val="00B2759A"/>
    <w:rsid w:val="00B34CFC"/>
    <w:rsid w:val="00B41470"/>
    <w:rsid w:val="00B47BAA"/>
    <w:rsid w:val="00B47BBC"/>
    <w:rsid w:val="00B52016"/>
    <w:rsid w:val="00B54896"/>
    <w:rsid w:val="00B55101"/>
    <w:rsid w:val="00B56FA2"/>
    <w:rsid w:val="00B610A1"/>
    <w:rsid w:val="00B65711"/>
    <w:rsid w:val="00B67015"/>
    <w:rsid w:val="00B67FC8"/>
    <w:rsid w:val="00B75CA6"/>
    <w:rsid w:val="00B81410"/>
    <w:rsid w:val="00B82968"/>
    <w:rsid w:val="00B82F2E"/>
    <w:rsid w:val="00B839C4"/>
    <w:rsid w:val="00B93451"/>
    <w:rsid w:val="00B95DC0"/>
    <w:rsid w:val="00BA400C"/>
    <w:rsid w:val="00BA59BF"/>
    <w:rsid w:val="00BA70F5"/>
    <w:rsid w:val="00BB6CE3"/>
    <w:rsid w:val="00BC0496"/>
    <w:rsid w:val="00BC2BAC"/>
    <w:rsid w:val="00BC32E4"/>
    <w:rsid w:val="00BD38C7"/>
    <w:rsid w:val="00BD53D3"/>
    <w:rsid w:val="00BE3A73"/>
    <w:rsid w:val="00BF0020"/>
    <w:rsid w:val="00BF1438"/>
    <w:rsid w:val="00BF546E"/>
    <w:rsid w:val="00C0297E"/>
    <w:rsid w:val="00C10108"/>
    <w:rsid w:val="00C1093B"/>
    <w:rsid w:val="00C15A20"/>
    <w:rsid w:val="00C20808"/>
    <w:rsid w:val="00C21A9F"/>
    <w:rsid w:val="00C23725"/>
    <w:rsid w:val="00C3063B"/>
    <w:rsid w:val="00C30CFF"/>
    <w:rsid w:val="00C33CD6"/>
    <w:rsid w:val="00C34AC5"/>
    <w:rsid w:val="00C374AF"/>
    <w:rsid w:val="00C40E02"/>
    <w:rsid w:val="00C44356"/>
    <w:rsid w:val="00C51E91"/>
    <w:rsid w:val="00C57F49"/>
    <w:rsid w:val="00C60AA7"/>
    <w:rsid w:val="00C61AD8"/>
    <w:rsid w:val="00C64831"/>
    <w:rsid w:val="00C66451"/>
    <w:rsid w:val="00C7092C"/>
    <w:rsid w:val="00C73E16"/>
    <w:rsid w:val="00C743B0"/>
    <w:rsid w:val="00C759B1"/>
    <w:rsid w:val="00C80829"/>
    <w:rsid w:val="00C83BCC"/>
    <w:rsid w:val="00C84A8B"/>
    <w:rsid w:val="00C8553A"/>
    <w:rsid w:val="00C85D19"/>
    <w:rsid w:val="00C86A9F"/>
    <w:rsid w:val="00C94E63"/>
    <w:rsid w:val="00C96A94"/>
    <w:rsid w:val="00CA1E8C"/>
    <w:rsid w:val="00CA6BAC"/>
    <w:rsid w:val="00CB046A"/>
    <w:rsid w:val="00CB07D6"/>
    <w:rsid w:val="00CB09E5"/>
    <w:rsid w:val="00CB14F4"/>
    <w:rsid w:val="00CB5118"/>
    <w:rsid w:val="00CB6E87"/>
    <w:rsid w:val="00CC1112"/>
    <w:rsid w:val="00CC16A8"/>
    <w:rsid w:val="00CC3510"/>
    <w:rsid w:val="00CC3D42"/>
    <w:rsid w:val="00CC59E1"/>
    <w:rsid w:val="00CD4C7B"/>
    <w:rsid w:val="00CE082D"/>
    <w:rsid w:val="00CE231E"/>
    <w:rsid w:val="00CE6842"/>
    <w:rsid w:val="00CE73DE"/>
    <w:rsid w:val="00CF6CD7"/>
    <w:rsid w:val="00D049EF"/>
    <w:rsid w:val="00D10561"/>
    <w:rsid w:val="00D10C25"/>
    <w:rsid w:val="00D16F77"/>
    <w:rsid w:val="00D22195"/>
    <w:rsid w:val="00D24A70"/>
    <w:rsid w:val="00D2675A"/>
    <w:rsid w:val="00D271BF"/>
    <w:rsid w:val="00D30998"/>
    <w:rsid w:val="00D35E6D"/>
    <w:rsid w:val="00D52947"/>
    <w:rsid w:val="00D53B79"/>
    <w:rsid w:val="00D54128"/>
    <w:rsid w:val="00D56B93"/>
    <w:rsid w:val="00D6068F"/>
    <w:rsid w:val="00D7188D"/>
    <w:rsid w:val="00D718B9"/>
    <w:rsid w:val="00D7528A"/>
    <w:rsid w:val="00D84523"/>
    <w:rsid w:val="00D851B1"/>
    <w:rsid w:val="00D85B8E"/>
    <w:rsid w:val="00D875DB"/>
    <w:rsid w:val="00D94951"/>
    <w:rsid w:val="00D971FF"/>
    <w:rsid w:val="00D97CA9"/>
    <w:rsid w:val="00D97F2C"/>
    <w:rsid w:val="00DA5D86"/>
    <w:rsid w:val="00DB1C9E"/>
    <w:rsid w:val="00DB6256"/>
    <w:rsid w:val="00DC1757"/>
    <w:rsid w:val="00DC5F5F"/>
    <w:rsid w:val="00DE547B"/>
    <w:rsid w:val="00DE555D"/>
    <w:rsid w:val="00DF14A5"/>
    <w:rsid w:val="00DF179D"/>
    <w:rsid w:val="00DF1B83"/>
    <w:rsid w:val="00DF4046"/>
    <w:rsid w:val="00DF55DC"/>
    <w:rsid w:val="00E04892"/>
    <w:rsid w:val="00E0520C"/>
    <w:rsid w:val="00E05993"/>
    <w:rsid w:val="00E0636D"/>
    <w:rsid w:val="00E067B5"/>
    <w:rsid w:val="00E12AD4"/>
    <w:rsid w:val="00E16C51"/>
    <w:rsid w:val="00E17ED9"/>
    <w:rsid w:val="00E2304D"/>
    <w:rsid w:val="00E2366B"/>
    <w:rsid w:val="00E255BE"/>
    <w:rsid w:val="00E2647B"/>
    <w:rsid w:val="00E26FF7"/>
    <w:rsid w:val="00E3141E"/>
    <w:rsid w:val="00E3283D"/>
    <w:rsid w:val="00E33447"/>
    <w:rsid w:val="00E35478"/>
    <w:rsid w:val="00E35696"/>
    <w:rsid w:val="00E36C29"/>
    <w:rsid w:val="00E42F27"/>
    <w:rsid w:val="00E43E1C"/>
    <w:rsid w:val="00E47996"/>
    <w:rsid w:val="00E50897"/>
    <w:rsid w:val="00E56AAA"/>
    <w:rsid w:val="00E57302"/>
    <w:rsid w:val="00E648FF"/>
    <w:rsid w:val="00E67D18"/>
    <w:rsid w:val="00E730EC"/>
    <w:rsid w:val="00E73366"/>
    <w:rsid w:val="00E77258"/>
    <w:rsid w:val="00E77EDA"/>
    <w:rsid w:val="00E82939"/>
    <w:rsid w:val="00E86625"/>
    <w:rsid w:val="00E92612"/>
    <w:rsid w:val="00E939B0"/>
    <w:rsid w:val="00E95D4F"/>
    <w:rsid w:val="00EA1F5D"/>
    <w:rsid w:val="00EA6F0B"/>
    <w:rsid w:val="00EB37E4"/>
    <w:rsid w:val="00EB4302"/>
    <w:rsid w:val="00EB4A93"/>
    <w:rsid w:val="00EC01EE"/>
    <w:rsid w:val="00EC2076"/>
    <w:rsid w:val="00ED136E"/>
    <w:rsid w:val="00EF11D4"/>
    <w:rsid w:val="00EF1884"/>
    <w:rsid w:val="00EF327E"/>
    <w:rsid w:val="00EF4ABC"/>
    <w:rsid w:val="00EF5819"/>
    <w:rsid w:val="00F008A1"/>
    <w:rsid w:val="00F01202"/>
    <w:rsid w:val="00F01AD1"/>
    <w:rsid w:val="00F03DA5"/>
    <w:rsid w:val="00F051E2"/>
    <w:rsid w:val="00F0780E"/>
    <w:rsid w:val="00F14E29"/>
    <w:rsid w:val="00F203F0"/>
    <w:rsid w:val="00F21165"/>
    <w:rsid w:val="00F21EED"/>
    <w:rsid w:val="00F22D4E"/>
    <w:rsid w:val="00F23603"/>
    <w:rsid w:val="00F265BE"/>
    <w:rsid w:val="00F3441E"/>
    <w:rsid w:val="00F345D6"/>
    <w:rsid w:val="00F35714"/>
    <w:rsid w:val="00F400E6"/>
    <w:rsid w:val="00F41EFF"/>
    <w:rsid w:val="00F454E2"/>
    <w:rsid w:val="00F5009F"/>
    <w:rsid w:val="00F5012B"/>
    <w:rsid w:val="00F53623"/>
    <w:rsid w:val="00F606BB"/>
    <w:rsid w:val="00F60821"/>
    <w:rsid w:val="00F62119"/>
    <w:rsid w:val="00F633E2"/>
    <w:rsid w:val="00F64268"/>
    <w:rsid w:val="00F662F5"/>
    <w:rsid w:val="00F705A5"/>
    <w:rsid w:val="00F722A3"/>
    <w:rsid w:val="00F7606B"/>
    <w:rsid w:val="00F767BD"/>
    <w:rsid w:val="00F76BC6"/>
    <w:rsid w:val="00F77197"/>
    <w:rsid w:val="00F846BF"/>
    <w:rsid w:val="00F867F5"/>
    <w:rsid w:val="00F91B45"/>
    <w:rsid w:val="00F94507"/>
    <w:rsid w:val="00F9485C"/>
    <w:rsid w:val="00FA1D56"/>
    <w:rsid w:val="00FA248B"/>
    <w:rsid w:val="00FA7721"/>
    <w:rsid w:val="00FB6CE0"/>
    <w:rsid w:val="00FB7649"/>
    <w:rsid w:val="00FB796B"/>
    <w:rsid w:val="00FB7FAE"/>
    <w:rsid w:val="00FD3231"/>
    <w:rsid w:val="00FD38F6"/>
    <w:rsid w:val="00FE0472"/>
    <w:rsid w:val="00FE0506"/>
    <w:rsid w:val="00FE1706"/>
    <w:rsid w:val="00FF0309"/>
    <w:rsid w:val="00FF110D"/>
    <w:rsid w:val="00FF46F2"/>
    <w:rsid w:val="00FF588F"/>
    <w:rsid w:val="00FF72F2"/>
    <w:rsid w:val="01CBD9A9"/>
    <w:rsid w:val="0201D9CC"/>
    <w:rsid w:val="0273A13C"/>
    <w:rsid w:val="02BDE16E"/>
    <w:rsid w:val="031C161E"/>
    <w:rsid w:val="041FA559"/>
    <w:rsid w:val="042E6120"/>
    <w:rsid w:val="056FB1F3"/>
    <w:rsid w:val="059BC89F"/>
    <w:rsid w:val="063023CD"/>
    <w:rsid w:val="06B4BFF4"/>
    <w:rsid w:val="0718E1FB"/>
    <w:rsid w:val="07613303"/>
    <w:rsid w:val="07AF5F33"/>
    <w:rsid w:val="082678BB"/>
    <w:rsid w:val="08A16DDF"/>
    <w:rsid w:val="099DC5F2"/>
    <w:rsid w:val="0A14C946"/>
    <w:rsid w:val="0A63BC93"/>
    <w:rsid w:val="0AF7FD1E"/>
    <w:rsid w:val="0B11B0D1"/>
    <w:rsid w:val="0B33C5DD"/>
    <w:rsid w:val="0B74E77D"/>
    <w:rsid w:val="0CCD42B8"/>
    <w:rsid w:val="0D1CE276"/>
    <w:rsid w:val="0D560B15"/>
    <w:rsid w:val="0DD26A78"/>
    <w:rsid w:val="0E6D09A0"/>
    <w:rsid w:val="0E98B36D"/>
    <w:rsid w:val="0F1A3EAC"/>
    <w:rsid w:val="10B14DCE"/>
    <w:rsid w:val="10B20A2E"/>
    <w:rsid w:val="10B81ABF"/>
    <w:rsid w:val="10D47FC7"/>
    <w:rsid w:val="11F1BC24"/>
    <w:rsid w:val="1214C204"/>
    <w:rsid w:val="122464D8"/>
    <w:rsid w:val="13A1DBF2"/>
    <w:rsid w:val="1432DAB7"/>
    <w:rsid w:val="1452EEE3"/>
    <w:rsid w:val="151206F8"/>
    <w:rsid w:val="15261F08"/>
    <w:rsid w:val="18E15A1F"/>
    <w:rsid w:val="190A1556"/>
    <w:rsid w:val="1A634DD7"/>
    <w:rsid w:val="1AD06D07"/>
    <w:rsid w:val="1C2B0D0F"/>
    <w:rsid w:val="1CDC8F4F"/>
    <w:rsid w:val="1F4DB8D2"/>
    <w:rsid w:val="1F61B514"/>
    <w:rsid w:val="1FC499EB"/>
    <w:rsid w:val="2198EE5A"/>
    <w:rsid w:val="229B92AE"/>
    <w:rsid w:val="23A4BC37"/>
    <w:rsid w:val="23F32BF2"/>
    <w:rsid w:val="25234AA2"/>
    <w:rsid w:val="2544EBE1"/>
    <w:rsid w:val="259B6608"/>
    <w:rsid w:val="259E4FB1"/>
    <w:rsid w:val="25F69AB0"/>
    <w:rsid w:val="25FC5F27"/>
    <w:rsid w:val="272F8451"/>
    <w:rsid w:val="279651E7"/>
    <w:rsid w:val="28A265D9"/>
    <w:rsid w:val="28AD0C15"/>
    <w:rsid w:val="28F1AAB8"/>
    <w:rsid w:val="2A187EB1"/>
    <w:rsid w:val="2A64F25D"/>
    <w:rsid w:val="2AC26E71"/>
    <w:rsid w:val="2B8F11E2"/>
    <w:rsid w:val="2BA118C1"/>
    <w:rsid w:val="2BC835D2"/>
    <w:rsid w:val="2DB55DC1"/>
    <w:rsid w:val="2DE02CAF"/>
    <w:rsid w:val="2E4A14CB"/>
    <w:rsid w:val="2E50824E"/>
    <w:rsid w:val="2EA17841"/>
    <w:rsid w:val="2F059C9E"/>
    <w:rsid w:val="2F5F55D5"/>
    <w:rsid w:val="2F62061D"/>
    <w:rsid w:val="2F9397C3"/>
    <w:rsid w:val="2F99F679"/>
    <w:rsid w:val="2FF23014"/>
    <w:rsid w:val="30691982"/>
    <w:rsid w:val="3101265A"/>
    <w:rsid w:val="31A6A197"/>
    <w:rsid w:val="31BC7A22"/>
    <w:rsid w:val="31D073F9"/>
    <w:rsid w:val="31F0C0CB"/>
    <w:rsid w:val="32F8C713"/>
    <w:rsid w:val="33346840"/>
    <w:rsid w:val="33C2C5EE"/>
    <w:rsid w:val="34025C65"/>
    <w:rsid w:val="3489B68D"/>
    <w:rsid w:val="3492A5CE"/>
    <w:rsid w:val="357D6D1B"/>
    <w:rsid w:val="3644F277"/>
    <w:rsid w:val="36483124"/>
    <w:rsid w:val="365EC923"/>
    <w:rsid w:val="377CD430"/>
    <w:rsid w:val="3795A9E4"/>
    <w:rsid w:val="37AA71D4"/>
    <w:rsid w:val="37D32901"/>
    <w:rsid w:val="3811B7C3"/>
    <w:rsid w:val="381E60FF"/>
    <w:rsid w:val="38708365"/>
    <w:rsid w:val="388D86D1"/>
    <w:rsid w:val="390CF620"/>
    <w:rsid w:val="39BCB1A8"/>
    <w:rsid w:val="3B321995"/>
    <w:rsid w:val="3C71FFD0"/>
    <w:rsid w:val="3D741130"/>
    <w:rsid w:val="3DC4BD5D"/>
    <w:rsid w:val="3E926F2A"/>
    <w:rsid w:val="3EFE5FD2"/>
    <w:rsid w:val="3F8BF6B6"/>
    <w:rsid w:val="40151890"/>
    <w:rsid w:val="40683F29"/>
    <w:rsid w:val="40C826A5"/>
    <w:rsid w:val="4103B9C5"/>
    <w:rsid w:val="4180CA8D"/>
    <w:rsid w:val="41BB30A8"/>
    <w:rsid w:val="426FE242"/>
    <w:rsid w:val="42E9FD8B"/>
    <w:rsid w:val="43947DDA"/>
    <w:rsid w:val="43FCB608"/>
    <w:rsid w:val="442AA1EF"/>
    <w:rsid w:val="449E9CBD"/>
    <w:rsid w:val="44B716AC"/>
    <w:rsid w:val="44D5171D"/>
    <w:rsid w:val="452F48A9"/>
    <w:rsid w:val="454B0974"/>
    <w:rsid w:val="459A1213"/>
    <w:rsid w:val="466B647A"/>
    <w:rsid w:val="4726A6F3"/>
    <w:rsid w:val="476B3234"/>
    <w:rsid w:val="496DD1F3"/>
    <w:rsid w:val="49B732A4"/>
    <w:rsid w:val="4A2C5ED6"/>
    <w:rsid w:val="4A321ACB"/>
    <w:rsid w:val="4A3A6CFB"/>
    <w:rsid w:val="4A992780"/>
    <w:rsid w:val="4AC5A690"/>
    <w:rsid w:val="4BF90AD0"/>
    <w:rsid w:val="4E4ABB4B"/>
    <w:rsid w:val="4F1A9238"/>
    <w:rsid w:val="4F56F7A4"/>
    <w:rsid w:val="4FD6AF7D"/>
    <w:rsid w:val="5009A123"/>
    <w:rsid w:val="5103EB8A"/>
    <w:rsid w:val="51070D5E"/>
    <w:rsid w:val="5154A094"/>
    <w:rsid w:val="518C8214"/>
    <w:rsid w:val="52673F11"/>
    <w:rsid w:val="52BEDF7B"/>
    <w:rsid w:val="52C68C05"/>
    <w:rsid w:val="534632A7"/>
    <w:rsid w:val="57BFFE76"/>
    <w:rsid w:val="5946B6DF"/>
    <w:rsid w:val="59A8D59E"/>
    <w:rsid w:val="5A69277C"/>
    <w:rsid w:val="5A7E7F53"/>
    <w:rsid w:val="5ACD2E95"/>
    <w:rsid w:val="5B863996"/>
    <w:rsid w:val="5BBF7CDC"/>
    <w:rsid w:val="5BE48156"/>
    <w:rsid w:val="5C2E2AE0"/>
    <w:rsid w:val="5C76B332"/>
    <w:rsid w:val="5CEE7FC9"/>
    <w:rsid w:val="5D4E4114"/>
    <w:rsid w:val="5D66A275"/>
    <w:rsid w:val="5F087266"/>
    <w:rsid w:val="5FA505CA"/>
    <w:rsid w:val="6035EEAE"/>
    <w:rsid w:val="6047AC3F"/>
    <w:rsid w:val="624C4522"/>
    <w:rsid w:val="635B5BC9"/>
    <w:rsid w:val="66C9E128"/>
    <w:rsid w:val="67FCB309"/>
    <w:rsid w:val="68F2C72D"/>
    <w:rsid w:val="6A1807CC"/>
    <w:rsid w:val="6A413D4C"/>
    <w:rsid w:val="6AD9877A"/>
    <w:rsid w:val="6B3AF7B1"/>
    <w:rsid w:val="6B9FAB23"/>
    <w:rsid w:val="6BB25C4B"/>
    <w:rsid w:val="6BF99BD6"/>
    <w:rsid w:val="6C702943"/>
    <w:rsid w:val="6C8CF19C"/>
    <w:rsid w:val="6E4DDE8A"/>
    <w:rsid w:val="6F9B491C"/>
    <w:rsid w:val="6FFB3180"/>
    <w:rsid w:val="7042B35F"/>
    <w:rsid w:val="70EA3AF5"/>
    <w:rsid w:val="719222A7"/>
    <w:rsid w:val="71B81EC0"/>
    <w:rsid w:val="7579EE29"/>
    <w:rsid w:val="76876C6F"/>
    <w:rsid w:val="76D0720E"/>
    <w:rsid w:val="78F60316"/>
    <w:rsid w:val="796547BF"/>
    <w:rsid w:val="79AA5DBF"/>
    <w:rsid w:val="79BD4C89"/>
    <w:rsid w:val="7A6F1A66"/>
    <w:rsid w:val="7AA03349"/>
    <w:rsid w:val="7B0CF642"/>
    <w:rsid w:val="7B542966"/>
    <w:rsid w:val="7B735507"/>
    <w:rsid w:val="7BBB097A"/>
    <w:rsid w:val="7BF462F9"/>
    <w:rsid w:val="7BFCF84D"/>
    <w:rsid w:val="7C14AD61"/>
    <w:rsid w:val="7CAECC3E"/>
    <w:rsid w:val="7CB015D8"/>
    <w:rsid w:val="7CD348F0"/>
    <w:rsid w:val="7D4087B0"/>
    <w:rsid w:val="7D4F7134"/>
    <w:rsid w:val="7D725792"/>
    <w:rsid w:val="7E14CC41"/>
    <w:rsid w:val="7E5C3F71"/>
    <w:rsid w:val="7E8FE538"/>
    <w:rsid w:val="7F71D67C"/>
    <w:rsid w:val="7FED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47BF"/>
  <w15:chartTrackingRefBased/>
  <w15:docId w15:val="{EB710B28-66D3-4E4E-90D9-C86FC2BF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kapitzlist">
    <w:name w:val="List Paragraph"/>
    <w:basedOn w:val="Normalny"/>
    <w:uiPriority w:val="34"/>
    <w:qFormat/>
    <w:rsid w:val="006F62AC"/>
    <w:pPr>
      <w:ind w:left="720"/>
      <w:contextualSpacing/>
    </w:pPr>
  </w:style>
  <w:style w:type="paragraph" w:customStyle="1" w:styleId="msonormal0">
    <w:name w:val="msonormal"/>
    <w:basedOn w:val="Normalny"/>
    <w:rsid w:val="005F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pistreci1">
    <w:name w:val="toc 1"/>
    <w:basedOn w:val="Normalny"/>
    <w:autoRedefine/>
    <w:uiPriority w:val="39"/>
    <w:unhideWhenUsed/>
    <w:qFormat/>
    <w:rsid w:val="005F74C5"/>
    <w:pPr>
      <w:spacing w:before="360" w:after="0" w:line="276" w:lineRule="auto"/>
    </w:pPr>
    <w:rPr>
      <w:rFonts w:asciiTheme="majorHAnsi" w:eastAsiaTheme="minorHAnsi" w:hAnsiTheme="majorHAnsi" w:cstheme="majorHAnsi"/>
      <w:b/>
      <w:bCs/>
      <w:caps/>
    </w:rPr>
  </w:style>
  <w:style w:type="paragraph" w:styleId="Spistreci2">
    <w:name w:val="toc 2"/>
    <w:basedOn w:val="Normalny"/>
    <w:autoRedefine/>
    <w:uiPriority w:val="39"/>
    <w:unhideWhenUsed/>
    <w:qFormat/>
    <w:rsid w:val="005F74C5"/>
    <w:pPr>
      <w:spacing w:before="240" w:after="0" w:line="276" w:lineRule="auto"/>
    </w:pPr>
    <w:rPr>
      <w:rFonts w:eastAsiaTheme="minorHAnsi" w:cstheme="minorHAnsi"/>
      <w:b/>
      <w:bCs/>
      <w:sz w:val="20"/>
      <w:szCs w:val="20"/>
    </w:rPr>
  </w:style>
  <w:style w:type="paragraph" w:styleId="Spistreci3">
    <w:name w:val="toc 3"/>
    <w:basedOn w:val="Normalny"/>
    <w:autoRedefine/>
    <w:uiPriority w:val="39"/>
    <w:unhideWhenUsed/>
    <w:qFormat/>
    <w:rsid w:val="005F74C5"/>
    <w:pPr>
      <w:spacing w:after="0" w:line="276" w:lineRule="auto"/>
      <w:ind w:left="220"/>
    </w:pPr>
    <w:rPr>
      <w:rFonts w:eastAsiaTheme="minorHAnsi" w:cstheme="minorHAnsi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F74C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74C5"/>
    <w:rPr>
      <w:rFonts w:ascii="Trebuchet MS" w:eastAsia="Trebuchet MS" w:hAnsi="Trebuchet MS" w:cs="Trebuchet MS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5F74C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</w:rPr>
  </w:style>
  <w:style w:type="table" w:customStyle="1" w:styleId="TableNormal1">
    <w:name w:val="Table Normal1"/>
    <w:uiPriority w:val="2"/>
    <w:semiHidden/>
    <w:qFormat/>
    <w:rsid w:val="005F74C5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F74C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74C5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4C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4C5"/>
    <w:rPr>
      <w:rFonts w:ascii="Segoe UI" w:eastAsiaTheme="minorHAns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4C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74C5"/>
    <w:pPr>
      <w:spacing w:before="240" w:after="0" w:line="259" w:lineRule="auto"/>
      <w:outlineLvl w:val="9"/>
    </w:pPr>
    <w:rPr>
      <w:sz w:val="32"/>
      <w:szCs w:val="32"/>
      <w:u w:color="000000"/>
    </w:rPr>
  </w:style>
  <w:style w:type="paragraph" w:customStyle="1" w:styleId="Default">
    <w:name w:val="Default"/>
    <w:rsid w:val="005F74C5"/>
    <w:pPr>
      <w:autoSpaceDE w:val="0"/>
      <w:autoSpaceDN w:val="0"/>
      <w:adjustRightInd w:val="0"/>
      <w:spacing w:after="0" w:line="240" w:lineRule="auto"/>
    </w:pPr>
    <w:rPr>
      <w:rFonts w:ascii="Barlow" w:eastAsiaTheme="minorHAnsi" w:hAnsi="Barlow" w:cs="Barlow"/>
      <w:color w:val="000000"/>
    </w:rPr>
  </w:style>
  <w:style w:type="paragraph" w:styleId="Spistreci4">
    <w:name w:val="toc 4"/>
    <w:basedOn w:val="Normalny"/>
    <w:next w:val="Normalny"/>
    <w:autoRedefine/>
    <w:uiPriority w:val="39"/>
    <w:unhideWhenUsed/>
    <w:rsid w:val="005F74C5"/>
    <w:pPr>
      <w:spacing w:after="0" w:line="276" w:lineRule="auto"/>
      <w:ind w:left="440"/>
    </w:pPr>
    <w:rPr>
      <w:rFonts w:eastAsia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5F74C5"/>
    <w:pPr>
      <w:spacing w:after="0" w:line="276" w:lineRule="auto"/>
      <w:ind w:left="660"/>
    </w:pPr>
    <w:rPr>
      <w:rFonts w:eastAsia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5F74C5"/>
    <w:pPr>
      <w:spacing w:after="0" w:line="276" w:lineRule="auto"/>
      <w:ind w:left="880"/>
    </w:pPr>
    <w:rPr>
      <w:rFonts w:eastAsia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5F74C5"/>
    <w:pPr>
      <w:spacing w:after="0" w:line="276" w:lineRule="auto"/>
      <w:ind w:left="1100"/>
    </w:pPr>
    <w:rPr>
      <w:rFonts w:eastAsia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5F74C5"/>
    <w:pPr>
      <w:spacing w:after="0" w:line="276" w:lineRule="auto"/>
      <w:ind w:left="1320"/>
    </w:pPr>
    <w:rPr>
      <w:rFonts w:eastAsia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5F74C5"/>
    <w:pPr>
      <w:spacing w:after="0" w:line="276" w:lineRule="auto"/>
      <w:ind w:left="1540"/>
    </w:pPr>
    <w:rPr>
      <w:rFonts w:eastAsiaTheme="minorHAnsi" w:cstheme="minorHAnsi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43E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57C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6B057C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0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D84523"/>
    <w:rPr>
      <w:i/>
      <w:iCs/>
    </w:rPr>
  </w:style>
  <w:style w:type="paragraph" w:customStyle="1" w:styleId="P68B1DB1-Normal1">
    <w:name w:val="P68B1DB1-Normal1"/>
    <w:basedOn w:val="Normalny"/>
    <w:rPr>
      <w:rFonts w:ascii="Calibri" w:hAnsi="Calibri" w:cs="Calibri"/>
    </w:rPr>
  </w:style>
  <w:style w:type="paragraph" w:customStyle="1" w:styleId="P68B1DB1-ListParagraph2">
    <w:name w:val="P68B1DB1-ListParagraph2"/>
    <w:basedOn w:val="Akapitzlist"/>
    <w:rPr>
      <w:rFonts w:ascii="Calibri" w:hAnsi="Calibri" w:cs="Calibri"/>
    </w:rPr>
  </w:style>
  <w:style w:type="paragraph" w:customStyle="1" w:styleId="P68B1DB1-ListParagraph3">
    <w:name w:val="P68B1DB1-ListParagraph3"/>
    <w:basedOn w:val="Akapitzlist"/>
    <w:rPr>
      <w:rFonts w:ascii="Calibri" w:eastAsia="Calibri" w:hAnsi="Calibri" w:cs="Calibri"/>
    </w:rPr>
  </w:style>
  <w:style w:type="paragraph" w:customStyle="1" w:styleId="P68B1DB1-Normal4">
    <w:name w:val="P68B1DB1-Normal4"/>
    <w:basedOn w:val="Normalny"/>
    <w:rPr>
      <w:rFonts w:ascii="Calibri" w:hAnsi="Calibri" w:cs="Calibri"/>
      <w:b/>
    </w:rPr>
  </w:style>
  <w:style w:type="paragraph" w:customStyle="1" w:styleId="P68B1DB1-Normal5">
    <w:name w:val="P68B1DB1-Normal5"/>
    <w:basedOn w:val="Normalny"/>
    <w:rPr>
      <w:rFonts w:ascii="Calibri" w:hAnsi="Calibri" w:cs="Calibri"/>
      <w:highlight w:val="yellow"/>
    </w:rPr>
  </w:style>
  <w:style w:type="paragraph" w:customStyle="1" w:styleId="P68B1DB1-Heading16">
    <w:name w:val="P68B1DB1-Heading16"/>
    <w:basedOn w:val="Nagwek1"/>
    <w:rPr>
      <w:rFonts w:ascii="Calibri" w:hAnsi="Calibri" w:cs="Calibri"/>
    </w:rPr>
  </w:style>
  <w:style w:type="paragraph" w:customStyle="1" w:styleId="P68B1DB1-Heading27">
    <w:name w:val="P68B1DB1-Heading27"/>
    <w:basedOn w:val="Nagwek2"/>
    <w:rPr>
      <w:rFonts w:ascii="Calibri" w:hAnsi="Calibri" w:cs="Calibri"/>
      <w:b/>
      <w:color w:val="auto"/>
      <w:sz w:val="24"/>
    </w:rPr>
  </w:style>
  <w:style w:type="paragraph" w:customStyle="1" w:styleId="P68B1DB1-Heading38">
    <w:name w:val="P68B1DB1-Heading38"/>
    <w:basedOn w:val="Nagwek3"/>
    <w:rPr>
      <w:rFonts w:ascii="Calibri" w:hAnsi="Calibri" w:cs="Calibri"/>
      <w:color w:val="auto"/>
      <w:sz w:val="24"/>
    </w:rPr>
  </w:style>
  <w:style w:type="paragraph" w:customStyle="1" w:styleId="P68B1DB1-NormalWeb9">
    <w:name w:val="P68B1DB1-NormalWeb9"/>
    <w:basedOn w:val="NormalnyWeb"/>
    <w:rPr>
      <w:rFonts w:ascii="Calibri" w:hAnsi="Calibri" w:cs="Calibri"/>
    </w:rPr>
  </w:style>
  <w:style w:type="paragraph" w:customStyle="1" w:styleId="P68B1DB1-Heading110">
    <w:name w:val="P68B1DB1-Heading110"/>
    <w:basedOn w:val="Nagwek1"/>
    <w:rPr>
      <w:rFonts w:ascii="Calibri" w:hAnsi="Calibri" w:cs="Calibri"/>
      <w:b/>
      <w:color w:val="auto"/>
      <w:sz w:val="28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B55101"/>
    <w:rPr>
      <w:vertAlign w:val="superscript"/>
    </w:rPr>
  </w:style>
  <w:style w:type="character" w:customStyle="1" w:styleId="FootnoteReference1">
    <w:name w:val="Footnote Reference1"/>
    <w:rsid w:val="00B55101"/>
    <w:rPr>
      <w:vertAlign w:val="superscript"/>
    </w:rPr>
  </w:style>
  <w:style w:type="paragraph" w:styleId="Poprawka">
    <w:name w:val="Revision"/>
    <w:hidden/>
    <w:uiPriority w:val="99"/>
    <w:semiHidden/>
    <w:rsid w:val="001A2F8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3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3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331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F114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pl-PL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F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146"/>
  </w:style>
  <w:style w:type="paragraph" w:styleId="Stopka">
    <w:name w:val="footer"/>
    <w:basedOn w:val="Normalny"/>
    <w:link w:val="StopkaZnak"/>
    <w:uiPriority w:val="99"/>
    <w:unhideWhenUsed/>
    <w:rsid w:val="009F1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0" ma:contentTypeDescription="Utwórz nowy dokument." ma:contentTypeScope="" ma:versionID="8c8664942c73e1cc91c8fcbc6a119b0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c86a7741c865db69b8445b463d9d86ff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122c52-39c2-4916-910e-9f1bcb13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7d7b-ee2d-4faf-ae8a-5115ccfc4485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7F3FA-4D0D-4B24-88A8-908FAE72B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C981C-E2BC-4B35-BB2E-0973709F4FE2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0A79CFAD-E8AA-495B-8FF2-78CDDE28D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4EAE7-921F-4883-B8F1-0F09888BBF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3114</Words>
  <Characters>18687</Characters>
  <Application>Microsoft Office Word</Application>
  <DocSecurity>0</DocSecurity>
  <Lines>155</Lines>
  <Paragraphs>43</Paragraphs>
  <ScaleCrop>false</ScaleCrop>
  <Manager/>
  <Company/>
  <LinksUpToDate>false</LinksUpToDate>
  <CharactersWithSpaces>21758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Kostecki</dc:creator>
  <cp:keywords/>
  <dc:description/>
  <cp:lastModifiedBy>Piotr Kabulski</cp:lastModifiedBy>
  <cp:revision>45</cp:revision>
  <dcterms:created xsi:type="dcterms:W3CDTF">2025-12-10T16:05:00Z</dcterms:created>
  <dcterms:modified xsi:type="dcterms:W3CDTF">2025-12-31T08:04:00Z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