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ACDF" w14:textId="1E825BB6" w:rsidR="009E3D77" w:rsidRDefault="009E3D77" w:rsidP="009E3D7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FA7D0F">
        <w:rPr>
          <w:rFonts w:ascii="Times New Roman" w:hAnsi="Times New Roman" w:cs="Times New Roman"/>
          <w:bCs/>
          <w:sz w:val="20"/>
          <w:szCs w:val="20"/>
        </w:rPr>
        <w:t>3 do SWZ i nr 1</w:t>
      </w:r>
    </w:p>
    <w:p w14:paraId="0223E9B1" w14:textId="77777777" w:rsidR="009E3D77" w:rsidRDefault="009E3D77" w:rsidP="009E3D7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36C8D663" w14:textId="77777777" w:rsidR="009E3D77" w:rsidRDefault="009E3D77" w:rsidP="009E3D77">
      <w:pPr>
        <w:rPr>
          <w:rFonts w:ascii="Times New Roman" w:hAnsi="Times New Roman" w:cs="Times New Roman"/>
          <w:bCs/>
          <w:sz w:val="20"/>
          <w:szCs w:val="20"/>
        </w:rPr>
      </w:pPr>
    </w:p>
    <w:p w14:paraId="51D55873" w14:textId="5DBF91ED" w:rsidR="009E3D77" w:rsidRDefault="00FA7D0F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="009E3D77">
        <w:rPr>
          <w:rFonts w:ascii="Times New Roman" w:hAnsi="Times New Roman" w:cs="Times New Roman"/>
          <w:b/>
          <w:bCs/>
        </w:rPr>
        <w:t>OPIS PRZEDMIOTU ZAMÓWIENIA</w:t>
      </w:r>
    </w:p>
    <w:p w14:paraId="00AF255F" w14:textId="77777777" w:rsidR="009E3D77" w:rsidRDefault="009E3D77" w:rsidP="009E3D77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dostawa sprzętu medycznego – </w:t>
      </w:r>
      <w:r>
        <w:rPr>
          <w:rFonts w:ascii="Times New Roman" w:hAnsi="Times New Roman" w:cs="Times New Roman"/>
          <w:b/>
          <w:bCs/>
        </w:rPr>
        <w:t>aparatów EKG i gazometrów</w:t>
      </w:r>
      <w:r>
        <w:rPr>
          <w:rFonts w:ascii="Times New Roman" w:hAnsi="Times New Roman" w:cs="Times New Roman"/>
        </w:rPr>
        <w:t xml:space="preserve">, zgodnego z poniższą specyfikacją techniczną (zał. nr 1 i nr 2 do OPZ), jego montaż i uruchomienie oraz poinstruowanie personelu dot. obsługi tego sprzętu, </w:t>
      </w:r>
      <w:r>
        <w:rPr>
          <w:rFonts w:ascii="Times New Roman" w:hAnsi="Times New Roman" w:cs="Times New Roman"/>
          <w:color w:val="000000" w:themeColor="text1"/>
        </w:rPr>
        <w:t xml:space="preserve">w ramach zadania nr 11 </w:t>
      </w:r>
      <w:r>
        <w:rPr>
          <w:rFonts w:ascii="Times New Roman" w:hAnsi="Times New Roman" w:cs="Times New Roman"/>
        </w:rPr>
        <w:t xml:space="preserve">przedsięwzięcia </w:t>
      </w:r>
    </w:p>
    <w:p w14:paraId="5A396F13" w14:textId="77777777" w:rsidR="009E3D77" w:rsidRDefault="009E3D77" w:rsidP="009E3D77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:</w:t>
      </w:r>
    </w:p>
    <w:p w14:paraId="68670345" w14:textId="77777777" w:rsidR="009E3D77" w:rsidRDefault="009E3D77" w:rsidP="009E3D77">
      <w:pPr>
        <w:rPr>
          <w:rFonts w:ascii="Times New Roman" w:hAnsi="Times New Roman" w:cs="Times New Roman"/>
        </w:rPr>
      </w:pPr>
    </w:p>
    <w:p w14:paraId="52F54B6D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Aparaty EKG – szt. 5 (Pakiet 1),</w:t>
      </w:r>
    </w:p>
    <w:p w14:paraId="275B7AE0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Gazometry – szt. 2 (Pakiet 2).</w:t>
      </w:r>
    </w:p>
    <w:p w14:paraId="7B85BAE3" w14:textId="77777777" w:rsidR="009E3D77" w:rsidRDefault="009E3D77" w:rsidP="009E3D77">
      <w:pPr>
        <w:rPr>
          <w:rFonts w:ascii="Times New Roman" w:hAnsi="Times New Roman" w:cs="Times New Roman"/>
        </w:rPr>
      </w:pPr>
    </w:p>
    <w:p w14:paraId="545F9CA9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Zamawiającego dotyczące w/w urządzeń przedmiotu zamówienia :</w:t>
      </w:r>
    </w:p>
    <w:p w14:paraId="7309E585" w14:textId="77777777" w:rsidR="009E3D77" w:rsidRDefault="009E3D77" w:rsidP="009E3D77">
      <w:pPr>
        <w:rPr>
          <w:rFonts w:ascii="Times New Roman" w:hAnsi="Times New Roman" w:cs="Times New Roman"/>
        </w:rPr>
      </w:pPr>
    </w:p>
    <w:p w14:paraId="5DB70F42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urządzenia fabrycznie nowe, nieużywane wcześniej do prezentacji, z bieżącej produkcji,</w:t>
      </w:r>
    </w:p>
    <w:p w14:paraId="52D13F33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nie </w:t>
      </w:r>
      <w:proofErr w:type="spellStart"/>
      <w:r>
        <w:rPr>
          <w:rFonts w:ascii="Times New Roman" w:hAnsi="Times New Roman" w:cs="Times New Roman"/>
        </w:rPr>
        <w:t>rekondycjonowane</w:t>
      </w:r>
      <w:proofErr w:type="spellEnd"/>
      <w:r>
        <w:rPr>
          <w:rFonts w:ascii="Times New Roman" w:hAnsi="Times New Roman" w:cs="Times New Roman"/>
        </w:rPr>
        <w:t>,</w:t>
      </w:r>
    </w:p>
    <w:p w14:paraId="40727AC4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urządzenia odporne na dezynfekcję,</w:t>
      </w:r>
    </w:p>
    <w:p w14:paraId="02DC98FC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integracja urządzenia z oprogramowaniem/systemem szpitalnym HIS oraz infrastrukturą Szpitala, </w:t>
      </w:r>
    </w:p>
    <w:p w14:paraId="63E59E9D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 tym kompatybilność z istniejącymi urządzeniami medycznymi,</w:t>
      </w:r>
    </w:p>
    <w:p w14:paraId="7B02C72C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poinstruowanie personelu w miejscu instalacji w zakresie obsługi i bezpiecznej eksploatacji </w:t>
      </w:r>
    </w:p>
    <w:p w14:paraId="349FE789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urządzeń, potwierdzone certyfikatem w cenie oferty (jeśli dotyczy),</w:t>
      </w:r>
    </w:p>
    <w:p w14:paraId="758232AE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okres gwarancji nie krótszy niż 36 miesięcy (3 lata), licząc od daty odbioru końcowego przez</w:t>
      </w:r>
    </w:p>
    <w:p w14:paraId="1EDF3B18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Zamawiającego,</w:t>
      </w:r>
    </w:p>
    <w:p w14:paraId="74EAC130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przeglądy okresowe w okresie gwarancji wliczone w cenę oferty,</w:t>
      </w:r>
    </w:p>
    <w:p w14:paraId="6D02347D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8A4888A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B16C39E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serwis bezpłatny na okres 3 lat (podać adres i dane kontaktowe), czas reakcji serwisu do 2 dni roboczych,</w:t>
      </w:r>
    </w:p>
    <w:p w14:paraId="235B41B1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0"/>
        </w:rPr>
        <w:t>- sprzęt zastępczy na czas naprawy powyżej 5 dni roboczych,</w:t>
      </w:r>
    </w:p>
    <w:p w14:paraId="7EF3ED1A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Instrukcja obsługi w języku polskim w wersji papierowej,</w:t>
      </w:r>
    </w:p>
    <w:p w14:paraId="6EDBFB6C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kolorystyka urządzenia do uzgodnienia z Zamawiającym.</w:t>
      </w:r>
    </w:p>
    <w:p w14:paraId="08495D8B" w14:textId="77777777" w:rsidR="009E3D77" w:rsidRDefault="009E3D77" w:rsidP="009E3D77">
      <w:pPr>
        <w:pStyle w:val="Standard"/>
        <w:rPr>
          <w:rFonts w:ascii="Times New Roman" w:hAnsi="Times New Roman" w:cs="Times New Roman"/>
          <w:b/>
          <w:bCs/>
        </w:rPr>
      </w:pPr>
    </w:p>
    <w:p w14:paraId="019641FE" w14:textId="77777777" w:rsidR="009E3D77" w:rsidRDefault="009E3D77" w:rsidP="009E3D7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7C6E4BFE" w14:textId="77777777" w:rsidR="009E3D77" w:rsidRDefault="009E3D77" w:rsidP="009E3D77">
      <w:pPr>
        <w:rPr>
          <w:rFonts w:ascii="Times New Roman" w:hAnsi="Times New Roman" w:cs="Times New Roman"/>
        </w:rPr>
      </w:pPr>
    </w:p>
    <w:p w14:paraId="2E663B3F" w14:textId="77777777" w:rsidR="009E3D77" w:rsidRDefault="009E3D77" w:rsidP="009E3D77">
      <w:pPr>
        <w:rPr>
          <w:rFonts w:ascii="Times New Roman" w:hAnsi="Times New Roman" w:cs="Times New Roman"/>
          <w:bCs/>
        </w:rPr>
      </w:pPr>
    </w:p>
    <w:p w14:paraId="22FBBB87" w14:textId="77777777" w:rsidR="009E3D77" w:rsidRDefault="009E3D77" w:rsidP="009E3D77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Szczegółowa specyfikacja techniczna przedmiotu zamówienia zawarta jest w załączniku nr 1 i nr 2 do OPZ.</w:t>
      </w:r>
    </w:p>
    <w:p w14:paraId="2E55E324" w14:textId="77777777" w:rsidR="009E3D77" w:rsidRDefault="009E3D77" w:rsidP="009E3D77">
      <w:pPr>
        <w:rPr>
          <w:rFonts w:ascii="Times New Roman" w:hAnsi="Times New Roman" w:cs="Times New Roman"/>
          <w:sz w:val="20"/>
          <w:szCs w:val="20"/>
        </w:rPr>
      </w:pPr>
    </w:p>
    <w:p w14:paraId="2FF79F4A" w14:textId="77777777" w:rsidR="009E3D77" w:rsidRDefault="009E3D77" w:rsidP="009E3D77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49A6B119" w14:textId="77777777" w:rsidR="009E3D77" w:rsidRDefault="009E3D77" w:rsidP="009E3D77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1AE4F668" w14:textId="77777777" w:rsidR="009E3D77" w:rsidRDefault="009E3D77" w:rsidP="009E3D77">
      <w:pPr>
        <w:ind w:left="7080"/>
        <w:rPr>
          <w:rFonts w:ascii="Times New Roman" w:hAnsi="Times New Roman" w:cs="Times New Roman"/>
          <w:sz w:val="20"/>
          <w:szCs w:val="20"/>
        </w:rPr>
      </w:pPr>
    </w:p>
    <w:p w14:paraId="5CCDC3F4" w14:textId="77777777" w:rsidR="009E3D77" w:rsidRDefault="009E3D77" w:rsidP="009E3D77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Zał. nr 1 do OPZ</w:t>
      </w:r>
    </w:p>
    <w:p w14:paraId="5CE34F1D" w14:textId="77777777" w:rsidR="009E3D77" w:rsidRDefault="009E3D77" w:rsidP="009E3D77">
      <w:pPr>
        <w:rPr>
          <w:rFonts w:ascii="Times New Roman" w:hAnsi="Times New Roman" w:cs="Times New Roman"/>
          <w:b/>
          <w:bCs/>
        </w:rPr>
      </w:pPr>
    </w:p>
    <w:p w14:paraId="175F05D2" w14:textId="77777777" w:rsidR="009E3D77" w:rsidRDefault="009E3D77" w:rsidP="009E3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336F0D8D" w14:textId="77777777" w:rsidR="009E3D77" w:rsidRDefault="009E3D77" w:rsidP="009E3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46679FE8" w14:textId="77777777" w:rsidR="009E3D77" w:rsidRDefault="009E3D77" w:rsidP="009E3D77">
      <w:pPr>
        <w:rPr>
          <w:rFonts w:ascii="Times New Roman" w:hAnsi="Times New Roman" w:cs="Times New Roman"/>
          <w:u w:val="single"/>
        </w:rPr>
      </w:pPr>
    </w:p>
    <w:p w14:paraId="106E5E47" w14:textId="77777777" w:rsidR="009E3D77" w:rsidRDefault="009E3D77" w:rsidP="009E3D7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Zadanie 11 - Pakiet 1 – Aparaty EKG – szt. 5</w:t>
      </w:r>
    </w:p>
    <w:p w14:paraId="752378D8" w14:textId="77777777" w:rsidR="009E3D77" w:rsidRDefault="009E3D77" w:rsidP="009E3D77">
      <w:pPr>
        <w:rPr>
          <w:rFonts w:ascii="Times New Roman" w:hAnsi="Times New Roman" w:cs="Times New Roman"/>
          <w:u w:val="single"/>
        </w:rPr>
      </w:pPr>
    </w:p>
    <w:p w14:paraId="6CDFF95E" w14:textId="77777777" w:rsidR="009E3D77" w:rsidRDefault="009E3D77" w:rsidP="009E3D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producenta : .......................................................</w:t>
      </w:r>
    </w:p>
    <w:p w14:paraId="676E7193" w14:textId="77777777" w:rsidR="009E3D77" w:rsidRDefault="009E3D77" w:rsidP="009E3D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i typ urządzenia : ....................................................…</w:t>
      </w:r>
    </w:p>
    <w:p w14:paraId="1307F9EF" w14:textId="77777777" w:rsidR="009E3D77" w:rsidRDefault="009E3D77" w:rsidP="009E3D77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40BFE06" w14:textId="77777777" w:rsidR="009E3D77" w:rsidRDefault="009E3D77" w:rsidP="009E3D77">
      <w:pPr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30" w:type="dxa"/>
        <w:tblInd w:w="-17" w:type="dxa"/>
        <w:tblLayout w:type="fixed"/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7087"/>
        <w:gridCol w:w="1466"/>
      </w:tblGrid>
      <w:tr w:rsidR="009E3D77" w14:paraId="191DD1CF" w14:textId="77777777">
        <w:trPr>
          <w:cantSplit/>
          <w:trHeight w:val="666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CE87F" w14:textId="77777777" w:rsidR="009E3D77" w:rsidRDefault="009E3D77">
            <w:pPr>
              <w:widowControl w:val="0"/>
              <w:spacing w:line="256" w:lineRule="auto"/>
              <w:jc w:val="center"/>
              <w:rPr>
                <w:rFonts w:cs="Mangal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14:ligatures w14:val="standardContextual"/>
              </w:rPr>
              <w:t>L.p.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103272" w14:textId="77777777" w:rsidR="009E3D77" w:rsidRDefault="009E3D77">
            <w:pPr>
              <w:keepNext/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14:ligatures w14:val="standardContextual"/>
              </w:rPr>
              <w:t>Parametr / warunek wymagany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6BFEE2" w14:textId="77777777" w:rsidR="009E3D77" w:rsidRDefault="009E3D77">
            <w:pPr>
              <w:keepNext/>
              <w:widowControl w:val="0"/>
              <w:spacing w:line="256" w:lineRule="auto"/>
              <w:jc w:val="center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14:ligatures w14:val="standardContextual"/>
              </w:rPr>
              <w:t>parametr oferowany – podać</w:t>
            </w:r>
          </w:p>
        </w:tc>
      </w:tr>
      <w:tr w:rsidR="009E3D77" w14:paraId="418D131D" w14:textId="77777777">
        <w:trPr>
          <w:cantSplit/>
          <w:trHeight w:val="645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06C466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93A7F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Aparat -  12 kanałowy elektrokardiograf dający możliwość wydruku na papierze szerokości 112 mm – 1, 3, 6 lub 12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odprowadzeń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. 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5F1E1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72371A11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C231939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B89CE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  <w14:ligatures w14:val="standardContextual"/>
              </w:rPr>
              <w:t>- prezentacja na wyświetlaczu 1, 3, 6 lub 12 przebiegów EKG, wyników analizy i interpretacji, badań zapisanych w pamięci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28579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25CCF254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6EFF756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F06D23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  <w14:ligatures w14:val="standardContextual"/>
              </w:rPr>
              <w:t xml:space="preserve">- rejestracja 12 standardowych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  <w14:ligatures w14:val="standardContextual"/>
              </w:rPr>
              <w:t>odprowadzeń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  <w14:ligatures w14:val="standardContextual"/>
              </w:rPr>
              <w:t xml:space="preserve"> EKG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7E22E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5FF33BBE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2793E68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BF6F8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  <w14:ligatures w14:val="standardContextual"/>
              </w:rPr>
              <w:t>- możliwe rodzaje badań: Manual, AUTO, automatyczne do schowka, AUTOMANUAL, LONG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1E641C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236FB78E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47E35C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9F327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zapis automatyczny z funkcją zapisu do „schowka”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21D185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D853829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FE18D11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D8DC8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regulowana długość zapisu badania automatycznego – w przedziale min. od 6 do 30 sekund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650BDE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56AA2C1C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AC8680C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C3E18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zapis wsteczny przy badaniu automatycznym do schowka i przy badaniu ręcznym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F6FF3B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4485811" w14:textId="77777777">
        <w:trPr>
          <w:cantSplit/>
          <w:trHeight w:val="524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6B186B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4B070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Ekran dotykowy LCD o przekątnej   min.  7”,  - Rozdzielczość ekranu min. 800x480 pikseli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F41A448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  <w:t xml:space="preserve">,  </w:t>
            </w:r>
          </w:p>
        </w:tc>
      </w:tr>
      <w:tr w:rsidR="009E3D77" w14:paraId="2B73121B" w14:textId="77777777">
        <w:trPr>
          <w:cantSplit/>
          <w:trHeight w:val="323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6674C09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81"/>
            </w:tblGrid>
            <w:tr w:rsidR="009E3D77" w14:paraId="245F0C42" w14:textId="77777777">
              <w:tc>
                <w:tcPr>
                  <w:tcW w:w="77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DCB029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Drukarka A4 umożliwiająca wydruk dodatkowych informacji o badaniu i pacjencie</w:t>
                  </w:r>
                </w:p>
              </w:tc>
            </w:tr>
            <w:tr w:rsidR="009E3D77" w14:paraId="7D41C367" w14:textId="77777777">
              <w:tc>
                <w:tcPr>
                  <w:tcW w:w="77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60103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</w:p>
              </w:tc>
            </w:tr>
            <w:tr w:rsidR="009E3D77" w14:paraId="0CF13184" w14:textId="77777777">
              <w:trPr>
                <w:trHeight w:val="65"/>
              </w:trPr>
              <w:tc>
                <w:tcPr>
                  <w:tcW w:w="77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F2353C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</w:p>
              </w:tc>
            </w:tr>
          </w:tbl>
          <w:p w14:paraId="1C054BF4" w14:textId="77777777" w:rsidR="009E3D77" w:rsidRDefault="009E3D77">
            <w:pPr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3F8F8F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152B8211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88A4F47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03CD8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klawiatura membranowa alfanumeryczna z przyciskami funkcyjnymi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FB1398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BB91E6D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1298378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55C65" w14:textId="77777777" w:rsidR="009E3D77" w:rsidRDefault="009E3D77">
            <w:pPr>
              <w:spacing w:line="250" w:lineRule="exact"/>
              <w:ind w:right="58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obsługa za pomocą panelu dotykowego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D68BAD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  <w14:ligatures w14:val="standardContextual"/>
              </w:rPr>
            </w:pPr>
          </w:p>
        </w:tc>
      </w:tr>
      <w:tr w:rsidR="009E3D77" w14:paraId="7A672E07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7D10661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E755B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pamięć do 1000 pacjentów lub 1000 badań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18EDC9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7DF87424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5DC60A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836572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przeglądanie na wyświetlaczu zapisanych w pamięci badań, z możliwością zmiany ilości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odprowadzeń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, wzmocnienia i prędkości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D78AE7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80090D8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8C7A12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3DB16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automatyczna analiza i interpretacja zgodna z EN 60601-2-51 (baza CSE)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688699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156688ED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8C19292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0DEA8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wyniki analizy i interpretacji zależne od wieku i płci pacjenta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0A90EC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54C4475A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9FA1C0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CF854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wykonanie do min 120 badań automatycznych w trybie pracy akumulatorowej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9F5D1F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0B8D383D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F2206A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D23862" w14:textId="77777777" w:rsidR="009E3D77" w:rsidRDefault="009E3D77">
            <w:pPr>
              <w:widowControl w:val="0"/>
              <w:spacing w:line="256" w:lineRule="auto"/>
              <w:rPr>
                <w:rFonts w:cs="Mangal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ciągły pomiar częstości akcji serca (HR) i jego prezentacja na wyświetlaczu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C9D214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660009D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3B33003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74"/>
            </w:tblGrid>
            <w:tr w:rsidR="009E3D77" w14:paraId="28AD5C4F" w14:textId="77777777">
              <w:tc>
                <w:tcPr>
                  <w:tcW w:w="64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45B13D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aparat przystosowany do bezpośredniej pracy na otwartym sercu</w:t>
                  </w:r>
                </w:p>
              </w:tc>
            </w:tr>
            <w:tr w:rsidR="009E3D77" w14:paraId="2CCCFC9E" w14:textId="77777777">
              <w:tc>
                <w:tcPr>
                  <w:tcW w:w="64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BB12CD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możliwość włączania i wyłączania filtrów</w:t>
                  </w:r>
                </w:p>
              </w:tc>
            </w:tr>
            <w:tr w:rsidR="009E3D77" w14:paraId="6A1DDFEF" w14:textId="77777777">
              <w:tc>
                <w:tcPr>
                  <w:tcW w:w="64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41170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detekcja INOP odpięcia elektrody niezależna dla każdego kanału</w:t>
                  </w:r>
                </w:p>
              </w:tc>
            </w:tr>
            <w:tr w:rsidR="009E3D77" w14:paraId="7868BEEC" w14:textId="77777777">
              <w:tc>
                <w:tcPr>
                  <w:tcW w:w="64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24C365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zabezpieczenie przed impulsem defibrylującym</w:t>
                  </w:r>
                </w:p>
              </w:tc>
            </w:tr>
            <w:tr w:rsidR="009E3D77" w14:paraId="49224ACC" w14:textId="77777777">
              <w:tc>
                <w:tcPr>
                  <w:tcW w:w="64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715DA4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archiwizacja badań za dany okres na zewnętrznym nośniku USB</w:t>
                  </w:r>
                </w:p>
              </w:tc>
            </w:tr>
            <w:tr w:rsidR="009E3D77" w14:paraId="5F83C825" w14:textId="77777777">
              <w:tc>
                <w:tcPr>
                  <w:tcW w:w="64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9C555E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 xml:space="preserve">- Współpraca z oprogramowaniem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CardioTEKA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 xml:space="preserve"> lub równoważnym</w:t>
                  </w:r>
                </w:p>
              </w:tc>
            </w:tr>
          </w:tbl>
          <w:p w14:paraId="5DA21AD7" w14:textId="77777777" w:rsidR="009E3D77" w:rsidRDefault="009E3D77">
            <w:pPr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EC9D6C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1AEB2BE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C0472B4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29"/>
            </w:tblGrid>
            <w:tr w:rsidR="009E3D77" w14:paraId="0D606EBB" w14:textId="77777777">
              <w:tc>
                <w:tcPr>
                  <w:tcW w:w="51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B16445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Kabel EKG KEKG 30 – szt. 1</w:t>
                  </w:r>
                </w:p>
              </w:tc>
            </w:tr>
            <w:tr w:rsidR="009E3D77" w14:paraId="4869D666" w14:textId="77777777">
              <w:tc>
                <w:tcPr>
                  <w:tcW w:w="51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84B03C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Elektrody przyssawkowe – 1 komplet</w:t>
                  </w:r>
                </w:p>
              </w:tc>
            </w:tr>
            <w:tr w:rsidR="009E3D77" w14:paraId="47121F51" w14:textId="77777777">
              <w:tc>
                <w:tcPr>
                  <w:tcW w:w="51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2D069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Elektrody kończynowe klipsowe – 1 komplet</w:t>
                  </w:r>
                </w:p>
              </w:tc>
            </w:tr>
            <w:tr w:rsidR="009E3D77" w14:paraId="75A89B76" w14:textId="77777777">
              <w:tc>
                <w:tcPr>
                  <w:tcW w:w="51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831BB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Żel EKG 250g</w:t>
                  </w:r>
                </w:p>
              </w:tc>
            </w:tr>
            <w:tr w:rsidR="009E3D77" w14:paraId="0302D5AC" w14:textId="77777777">
              <w:tc>
                <w:tcPr>
                  <w:tcW w:w="51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60F779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Papier EKG - 3 rolki szerokości 112 mm</w:t>
                  </w:r>
                </w:p>
              </w:tc>
            </w:tr>
            <w:tr w:rsidR="009E3D77" w14:paraId="0B711A01" w14:textId="77777777">
              <w:tc>
                <w:tcPr>
                  <w:tcW w:w="51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CBCC80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Kabel zasilający</w:t>
                  </w:r>
                </w:p>
              </w:tc>
            </w:tr>
            <w:tr w:rsidR="009E3D77" w14:paraId="3AE4B392" w14:textId="77777777">
              <w:tc>
                <w:tcPr>
                  <w:tcW w:w="51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FF5821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Instrukcja obsługi aparatu w jęz. polskim</w:t>
                  </w:r>
                </w:p>
              </w:tc>
            </w:tr>
          </w:tbl>
          <w:p w14:paraId="72C9A9C0" w14:textId="77777777" w:rsidR="009E3D77" w:rsidRDefault="009E3D77">
            <w:pPr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82100E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84F7E5E" w14:textId="77777777">
        <w:trPr>
          <w:cantSplit/>
          <w:trHeight w:val="270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60BEBB4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8"/>
            </w:tblGrid>
            <w:tr w:rsidR="009E3D77" w14:paraId="23D3866F" w14:textId="77777777">
              <w:tc>
                <w:tcPr>
                  <w:tcW w:w="70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5E3992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Wózek jezdny dedykowany  do aparatu EKG i drukarki A4</w:t>
                  </w:r>
                </w:p>
              </w:tc>
            </w:tr>
            <w:tr w:rsidR="009E3D77" w14:paraId="171A02A0" w14:textId="77777777">
              <w:tc>
                <w:tcPr>
                  <w:tcW w:w="70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D9157D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 xml:space="preserve">- oprogramowanie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CardioTEKA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 xml:space="preserve"> lub równoważne</w:t>
                  </w:r>
                </w:p>
              </w:tc>
            </w:tr>
            <w:tr w:rsidR="009E3D77" w14:paraId="41B36675" w14:textId="77777777">
              <w:tc>
                <w:tcPr>
                  <w:tcW w:w="70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38007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>- pas piersiowy z elektrodami blaszkowymi</w:t>
                  </w:r>
                </w:p>
              </w:tc>
            </w:tr>
            <w:tr w:rsidR="009E3D77" w14:paraId="19AAB3B6" w14:textId="77777777">
              <w:tc>
                <w:tcPr>
                  <w:tcW w:w="70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6E6F26" w14:textId="77777777" w:rsidR="009E3D77" w:rsidRDefault="009E3D77">
                  <w:pPr>
                    <w:widowControl w:val="0"/>
                    <w:spacing w:line="100" w:lineRule="atLeast"/>
                    <w:ind w:right="-1961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 xml:space="preserve">- łączniki kabla pacjenta do elektrod jednorazowych - (komplet) </w:t>
                  </w:r>
                </w:p>
              </w:tc>
            </w:tr>
            <w:tr w:rsidR="009E3D77" w14:paraId="25DD2A14" w14:textId="77777777">
              <w:tc>
                <w:tcPr>
                  <w:tcW w:w="70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BD1BB8" w14:textId="77777777" w:rsidR="009E3D77" w:rsidRDefault="009E3D77">
                  <w:pPr>
                    <w:widowControl w:val="0"/>
                    <w:spacing w:line="100" w:lineRule="atLeast"/>
                    <w:rPr>
                      <w:rFonts w:cs="Mangal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  <w14:ligatures w14:val="standardContextual"/>
                    </w:rPr>
                    <w:t xml:space="preserve">Jednorazowe elektrody EKG spoczynkowe – 100szt. </w:t>
                  </w:r>
                </w:p>
              </w:tc>
            </w:tr>
          </w:tbl>
          <w:p w14:paraId="30A3F8A4" w14:textId="77777777" w:rsidR="009E3D77" w:rsidRDefault="009E3D77">
            <w:pPr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8667F9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319D56FC" w14:textId="77777777">
        <w:trPr>
          <w:cantSplit/>
          <w:trHeight w:val="270"/>
        </w:trPr>
        <w:tc>
          <w:tcPr>
            <w:tcW w:w="77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CAFBDDB" w14:textId="77777777" w:rsidR="009E3D77" w:rsidRDefault="009E3D77" w:rsidP="00703512">
            <w:pPr>
              <w:widowControl w:val="0"/>
              <w:numPr>
                <w:ilvl w:val="0"/>
                <w:numId w:val="1"/>
              </w:numPr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34F00" w14:textId="77777777" w:rsidR="009E3D77" w:rsidRDefault="009E3D77">
            <w:pPr>
              <w:widowControl w:val="0"/>
              <w:spacing w:line="100" w:lineRule="atLeast"/>
              <w:rPr>
                <w:rFonts w:cs="Manga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  <w14:ligatures w14:val="standardContextual"/>
              </w:rPr>
              <w:t>Na wyposażeniu drukarka laserowa A4 umożliwiająca wydruk dodatkowych informacji o badaniu i pacjencie, mieszcząca się w wózku aparatu i podłączona</w:t>
            </w:r>
          </w:p>
        </w:tc>
        <w:tc>
          <w:tcPr>
            <w:tcW w:w="1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CAA80A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</w:tbl>
    <w:p w14:paraId="7C1EC2BB" w14:textId="77777777" w:rsidR="009E3D77" w:rsidRDefault="009E3D77" w:rsidP="009E3D77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4321812F" w14:textId="77777777" w:rsidR="009E3D77" w:rsidRDefault="009E3D77" w:rsidP="009E3D77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7765CEA6" w14:textId="77777777" w:rsidR="009E3D77" w:rsidRDefault="009E3D77" w:rsidP="009E3D77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Zał. nr 2 do OPZ</w:t>
      </w:r>
    </w:p>
    <w:p w14:paraId="17B5A9B2" w14:textId="77777777" w:rsidR="009E3D77" w:rsidRDefault="009E3D77" w:rsidP="009E3D77">
      <w:pPr>
        <w:rPr>
          <w:rFonts w:ascii="Times New Roman" w:hAnsi="Times New Roman" w:cs="Times New Roman"/>
          <w:b/>
          <w:bCs/>
        </w:rPr>
      </w:pPr>
    </w:p>
    <w:p w14:paraId="2F3BE104" w14:textId="77777777" w:rsidR="009E3D77" w:rsidRDefault="009E3D77" w:rsidP="009E3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273417A5" w14:textId="77777777" w:rsidR="009E3D77" w:rsidRDefault="009E3D77" w:rsidP="009E3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47BC978" w14:textId="77777777" w:rsidR="009E3D77" w:rsidRDefault="009E3D77" w:rsidP="009E3D77">
      <w:pPr>
        <w:rPr>
          <w:rFonts w:ascii="Times New Roman" w:hAnsi="Times New Roman" w:cs="Times New Roman"/>
          <w:u w:val="single"/>
        </w:rPr>
      </w:pPr>
    </w:p>
    <w:p w14:paraId="6BECC0BB" w14:textId="77777777" w:rsidR="009E3D77" w:rsidRDefault="009E3D77" w:rsidP="009E3D7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Zadanie 11 - Pakiet 2 – Gazometry – szt. 2</w:t>
      </w:r>
    </w:p>
    <w:p w14:paraId="74AAB25A" w14:textId="77777777" w:rsidR="009E3D77" w:rsidRDefault="009E3D77" w:rsidP="009E3D77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5389209A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4EB4A22A" w14:textId="77777777" w:rsidR="009E3D77" w:rsidRDefault="009E3D77" w:rsidP="009E3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02BE0685" w14:textId="77777777" w:rsidR="009E3D77" w:rsidRDefault="009E3D77" w:rsidP="009E3D77">
      <w:pPr>
        <w:rPr>
          <w:rFonts w:ascii="Times New Roman" w:hAnsi="Times New Roman" w:cs="Times New Roman"/>
        </w:rPr>
      </w:pPr>
    </w:p>
    <w:p w14:paraId="4F0CC6F3" w14:textId="77777777" w:rsidR="009E3D77" w:rsidRDefault="009E3D77" w:rsidP="009E3D77">
      <w:pPr>
        <w:rPr>
          <w:rFonts w:ascii="Times New Roman" w:hAnsi="Times New Roman" w:cs="Times New Roman"/>
        </w:rPr>
      </w:pPr>
    </w:p>
    <w:p w14:paraId="38393FAE" w14:textId="77777777" w:rsidR="009E3D77" w:rsidRDefault="009E3D77" w:rsidP="009E3D77">
      <w:pPr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15" w:type="dxa"/>
        <w:tblInd w:w="-17" w:type="dxa"/>
        <w:tblLayout w:type="fixed"/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6235"/>
        <w:gridCol w:w="2303"/>
      </w:tblGrid>
      <w:tr w:rsidR="009E3D77" w14:paraId="512CBF3A" w14:textId="77777777">
        <w:trPr>
          <w:cantSplit/>
          <w:trHeight w:val="666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4CDA2B" w14:textId="77777777" w:rsidR="009E3D77" w:rsidRDefault="009E3D77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14:ligatures w14:val="standardContextual"/>
              </w:rPr>
              <w:t>L.p.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62F0" w14:textId="77777777" w:rsidR="009E3D77" w:rsidRDefault="009E3D77">
            <w:pPr>
              <w:keepNext/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14:ligatures w14:val="standardContextual"/>
              </w:rPr>
              <w:t>Parametr / warunek wymagany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925751" w14:textId="77777777" w:rsidR="009E3D77" w:rsidRDefault="009E3D77">
            <w:pPr>
              <w:keepNext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14:ligatures w14:val="standardContextual"/>
              </w:rPr>
              <w:t>parametr oferowany – podać</w:t>
            </w:r>
          </w:p>
        </w:tc>
      </w:tr>
      <w:tr w:rsidR="009E3D77" w14:paraId="4634565F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B0F720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56568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Parametry wyliczeniowe:</w:t>
            </w:r>
          </w:p>
          <w:p w14:paraId="26103E5E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- Całkowite stężenie jonów H: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+,</w:t>
            </w:r>
          </w:p>
          <w:p w14:paraId="58357217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Wodorowęglany: HCO3-act, HCO3-std,</w:t>
            </w:r>
          </w:p>
          <w:p w14:paraId="1566C34F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Nadmiar/niedobór zasad: BE(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ecf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), BE(B),</w:t>
            </w:r>
          </w:p>
          <w:p w14:paraId="225F7735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Bufor zasadowy: BB(B),</w:t>
            </w:r>
          </w:p>
          <w:p w14:paraId="436CE6FF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Całkowite CO2: ctCO2,</w:t>
            </w:r>
          </w:p>
          <w:p w14:paraId="43E6AE10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Saturacja: sO2(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),</w:t>
            </w:r>
          </w:p>
          <w:p w14:paraId="03B06519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- Luka anionowa: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AnGap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,</w:t>
            </w:r>
          </w:p>
          <w:p w14:paraId="212315EC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- Hemoglobina: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tHb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),</w:t>
            </w:r>
          </w:p>
          <w:p w14:paraId="5A0CCE28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Żylno-tętnicze stężenie tlenu: p02(A-a), pO2(a/A),</w:t>
            </w:r>
          </w:p>
          <w:p w14:paraId="384DC30D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- Wskaźnik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oksygenacji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: RI,</w:t>
            </w:r>
          </w:p>
          <w:p w14:paraId="1A40A07E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- Wentylacja pęcherzykowa: pO2/FIO2,</w:t>
            </w:r>
          </w:p>
          <w:p w14:paraId="3C59C24A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- Ca++(7,4) - stężenie Ca++ znormalizowane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=7,4,</w:t>
            </w:r>
          </w:p>
          <w:p w14:paraId="5A7F536B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- Parametry skorygowane 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wsk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. temperatury: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+(T),</w:t>
            </w:r>
          </w:p>
          <w:p w14:paraId="61B01519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(T), pCO2(T), pO2(T), pO2(A-a)(T), pO2(a/A)(T),</w:t>
            </w:r>
          </w:p>
          <w:p w14:paraId="3B264922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RI(T), pO2(T)/FIO2,</w:t>
            </w:r>
          </w:p>
          <w:p w14:paraId="46D06A27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Osmolność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mOsm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53AFA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4760E128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25446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7F27F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Automatyczna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kalibacja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AECFA6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747ADB3A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AA8ACE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BE16C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Kartridże: jednorazowe wraz z zintegrowanymi</w:t>
            </w:r>
          </w:p>
          <w:p w14:paraId="1623A4E2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elektrodami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7931DD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6A1655F8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39284C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BB890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Wydajność: Wynik po 1 minucie od pobrania próbki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7434B2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51F785C8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ED0BF8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1131F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Objętość próbki: 140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μl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7740A3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116BD38F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FD417F5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7E4BA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Ekran LCD 7” kolorowy, dotykowy o wysokiej rozdzielczości,</w:t>
            </w:r>
          </w:p>
          <w:p w14:paraId="11FE7B6E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wbudowana drukarka i skaner kodów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D1E5DA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03F952A3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09FD60F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F7BC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Możliwość pracy na wbudowanym akumulatorze do 50 oznaczeń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A3AB8E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  <w:tr w:rsidR="009E3D77" w14:paraId="6E8A3159" w14:textId="77777777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E3E7D9" w14:textId="77777777" w:rsidR="009E3D77" w:rsidRDefault="009E3D77" w:rsidP="00703512">
            <w:pPr>
              <w:widowControl w:val="0"/>
              <w:numPr>
                <w:ilvl w:val="0"/>
                <w:numId w:val="2"/>
              </w:numPr>
              <w:snapToGrid w:val="0"/>
              <w:spacing w:line="100" w:lineRule="atLeast"/>
              <w:ind w:hanging="493"/>
              <w:rPr>
                <w:rFonts w:ascii="Times New Roman" w:eastAsia="Calibri" w:hAnsi="Times New Roman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21EE3" w14:textId="77777777" w:rsidR="009E3D77" w:rsidRDefault="009E3D77">
            <w:pPr>
              <w:widowControl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Środowisko pracy: 10-31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st.C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>, 70-106,6 Kpa, %WP: 25%-80%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A7C6FF" w14:textId="77777777" w:rsidR="009E3D77" w:rsidRDefault="009E3D77">
            <w:pPr>
              <w:widowControl w:val="0"/>
              <w:snapToGrid w:val="0"/>
              <w:spacing w:line="256" w:lineRule="auto"/>
              <w:rPr>
                <w:rFonts w:ascii="Times New Roman" w:eastAsia="Lucida Sans Unicode" w:hAnsi="Times New Roman" w:cs="Times New Roman"/>
                <w:sz w:val="16"/>
                <w:szCs w:val="16"/>
                <w14:ligatures w14:val="standardContextual"/>
              </w:rPr>
            </w:pPr>
          </w:p>
        </w:tc>
      </w:tr>
    </w:tbl>
    <w:p w14:paraId="46942854" w14:textId="77777777" w:rsidR="009E3D77" w:rsidRDefault="009E3D77" w:rsidP="009E3D77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CDC083D" w14:textId="77777777" w:rsidR="009E3D77" w:rsidRDefault="009E3D77" w:rsidP="009E3D77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6034F150" w14:textId="77777777" w:rsidR="009E3D77" w:rsidRDefault="009E3D77" w:rsidP="009E3D77">
      <w:pPr>
        <w:rPr>
          <w:rFonts w:ascii="Times New Roman" w:hAnsi="Times New Roman" w:cs="Times New Roman"/>
          <w:b/>
          <w:bCs/>
          <w:u w:val="single"/>
        </w:rPr>
      </w:pPr>
    </w:p>
    <w:p w14:paraId="68CD3B72" w14:textId="77777777" w:rsidR="009E3D77" w:rsidRDefault="009E3D77"/>
    <w:sectPr w:rsidR="009E3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62105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6646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77"/>
    <w:rsid w:val="00663C89"/>
    <w:rsid w:val="009E3D77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824"/>
  <w15:chartTrackingRefBased/>
  <w15:docId w15:val="{C9AF91D3-8F6C-4B6C-B546-522C1E6D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3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3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3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3D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3D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3D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3D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3D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3D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3D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3D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3D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3D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3D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3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3D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3D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3D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3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3D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3D7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9E3D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9E3D77"/>
    <w:pPr>
      <w:spacing w:after="140" w:line="276" w:lineRule="auto"/>
    </w:pPr>
    <w:rPr>
      <w:rFonts w:cs="Lucida Sans"/>
    </w:rPr>
  </w:style>
  <w:style w:type="paragraph" w:customStyle="1" w:styleId="Default">
    <w:name w:val="Default"/>
    <w:qFormat/>
    <w:rsid w:val="009E3D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2025-12-04T08:50:00Z</dcterms:created>
  <dcterms:modified xsi:type="dcterms:W3CDTF">2025-12-04T08:51:00Z</dcterms:modified>
</cp:coreProperties>
</file>