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9212" w:type="dxa"/>
        <w:tblLayout w:type="fixed"/>
        <w:tblLook w:val="04A0" w:firstRow="1" w:lastRow="0" w:firstColumn="1" w:lastColumn="0" w:noHBand="0" w:noVBand="1"/>
      </w:tblPr>
      <w:tblGrid>
        <w:gridCol w:w="3085"/>
        <w:gridCol w:w="6127"/>
      </w:tblGrid>
      <w:tr w:rsidR="005719CE" w14:paraId="044271CD" w14:textId="77777777">
        <w:tc>
          <w:tcPr>
            <w:tcW w:w="9211" w:type="dxa"/>
            <w:gridSpan w:val="2"/>
          </w:tcPr>
          <w:p w14:paraId="1ED248E0" w14:textId="77777777" w:rsidR="005719CE" w:rsidRDefault="00000000">
            <w:pPr>
              <w:widowControl w:val="0"/>
              <w:spacing w:after="0" w:line="240" w:lineRule="auto"/>
              <w:jc w:val="center"/>
            </w:pPr>
            <w:bookmarkStart w:id="0" w:name="_Hlk159571485"/>
            <w:r>
              <w:rPr>
                <w:rFonts w:eastAsia="Calibri"/>
              </w:rPr>
              <w:t xml:space="preserve"> Przełącznik sieciowy zarządzalny L2+ 48 portów 1GB POE  370W - 2 szt</w:t>
            </w:r>
            <w:bookmarkEnd w:id="0"/>
          </w:p>
        </w:tc>
      </w:tr>
      <w:tr w:rsidR="005719CE" w14:paraId="19DE593E" w14:textId="77777777">
        <w:tc>
          <w:tcPr>
            <w:tcW w:w="3085" w:type="dxa"/>
          </w:tcPr>
          <w:p w14:paraId="04147056" w14:textId="77777777" w:rsidR="005719CE" w:rsidRDefault="00000000">
            <w:pPr>
              <w:widowControl w:val="0"/>
              <w:spacing w:after="0" w:line="240" w:lineRule="auto"/>
            </w:pPr>
            <w:r>
              <w:rPr>
                <w:rFonts w:eastAsia="Calibri"/>
              </w:rPr>
              <w:t>Porty Ethernet POE (Rj45)</w:t>
            </w:r>
          </w:p>
        </w:tc>
        <w:tc>
          <w:tcPr>
            <w:tcW w:w="6126" w:type="dxa"/>
          </w:tcPr>
          <w:p w14:paraId="1F2642D3" w14:textId="77777777" w:rsidR="005719CE" w:rsidRDefault="00000000">
            <w:pPr>
              <w:widowControl w:val="0"/>
              <w:spacing w:after="0" w:line="240" w:lineRule="auto"/>
            </w:pPr>
            <w:r>
              <w:rPr>
                <w:rFonts w:eastAsia="Calibri"/>
              </w:rPr>
              <w:t>48 x RJ-45 autosensing 10/100/1000 Class 4 PoE</w:t>
            </w:r>
          </w:p>
        </w:tc>
      </w:tr>
      <w:tr w:rsidR="005719CE" w14:paraId="0F5C53BC" w14:textId="77777777">
        <w:tc>
          <w:tcPr>
            <w:tcW w:w="3085" w:type="dxa"/>
          </w:tcPr>
          <w:p w14:paraId="02126908" w14:textId="77777777" w:rsidR="005719CE" w:rsidRDefault="00000000">
            <w:pPr>
              <w:widowControl w:val="0"/>
              <w:spacing w:after="0" w:line="240" w:lineRule="auto"/>
            </w:pPr>
            <w:r>
              <w:rPr>
                <w:rFonts w:eastAsia="Calibri"/>
              </w:rPr>
              <w:t>Porty SFP</w:t>
            </w:r>
          </w:p>
        </w:tc>
        <w:tc>
          <w:tcPr>
            <w:tcW w:w="6126" w:type="dxa"/>
          </w:tcPr>
          <w:p w14:paraId="175412A7" w14:textId="77777777" w:rsidR="005719CE" w:rsidRDefault="00000000">
            <w:pPr>
              <w:widowControl w:val="0"/>
              <w:spacing w:after="0" w:line="240" w:lineRule="auto"/>
            </w:pPr>
            <w:r>
              <w:rPr>
                <w:rFonts w:eastAsia="Calibri"/>
              </w:rPr>
              <w:t>4 x SFP/SFP+ 1G/10G Ethernet</w:t>
            </w:r>
          </w:p>
        </w:tc>
      </w:tr>
      <w:tr w:rsidR="005719CE" w14:paraId="0B289EEF" w14:textId="77777777">
        <w:tc>
          <w:tcPr>
            <w:tcW w:w="3085" w:type="dxa"/>
          </w:tcPr>
          <w:p w14:paraId="64050D37" w14:textId="77777777" w:rsidR="005719CE" w:rsidRDefault="00000000">
            <w:pPr>
              <w:widowControl w:val="0"/>
              <w:spacing w:after="0" w:line="240" w:lineRule="auto"/>
            </w:pPr>
            <w:r>
              <w:rPr>
                <w:rFonts w:eastAsia="Calibri"/>
              </w:rPr>
              <w:t>Pamięć</w:t>
            </w:r>
          </w:p>
        </w:tc>
        <w:tc>
          <w:tcPr>
            <w:tcW w:w="6126" w:type="dxa"/>
          </w:tcPr>
          <w:p w14:paraId="30D8E07B" w14:textId="77777777" w:rsidR="005719CE" w:rsidRDefault="00000000">
            <w:pPr>
              <w:widowControl w:val="0"/>
              <w:spacing w:after="0" w:line="240" w:lineRule="auto"/>
            </w:pPr>
            <w:r>
              <w:rPr>
                <w:rFonts w:eastAsia="Calibri"/>
              </w:rPr>
              <w:t>512 MB SDRAM 256 MB flash</w:t>
            </w:r>
          </w:p>
        </w:tc>
      </w:tr>
      <w:tr w:rsidR="005719CE" w14:paraId="59EB1C43" w14:textId="77777777">
        <w:tc>
          <w:tcPr>
            <w:tcW w:w="3085" w:type="dxa"/>
          </w:tcPr>
          <w:p w14:paraId="3065FEE8" w14:textId="77777777" w:rsidR="005719CE" w:rsidRDefault="00000000">
            <w:pPr>
              <w:widowControl w:val="0"/>
              <w:spacing w:after="0" w:line="240" w:lineRule="auto"/>
            </w:pPr>
            <w:r>
              <w:rPr>
                <w:rFonts w:eastAsia="Calibri"/>
              </w:rPr>
              <w:t>Obudowa</w:t>
            </w:r>
          </w:p>
        </w:tc>
        <w:tc>
          <w:tcPr>
            <w:tcW w:w="6126" w:type="dxa"/>
          </w:tcPr>
          <w:p w14:paraId="53F0DA14" w14:textId="77777777" w:rsidR="005719CE" w:rsidRDefault="00000000">
            <w:pPr>
              <w:widowControl w:val="0"/>
              <w:spacing w:after="0" w:line="240" w:lineRule="auto"/>
            </w:pPr>
            <w:r>
              <w:rPr>
                <w:rFonts w:eastAsia="Calibri"/>
              </w:rPr>
              <w:t>1U Rack 19” dołączone uchwyty montażowe</w:t>
            </w:r>
          </w:p>
        </w:tc>
      </w:tr>
      <w:tr w:rsidR="005719CE" w14:paraId="44F7E838" w14:textId="77777777">
        <w:tc>
          <w:tcPr>
            <w:tcW w:w="3085" w:type="dxa"/>
          </w:tcPr>
          <w:p w14:paraId="2BA81EDE" w14:textId="77777777" w:rsidR="005719CE" w:rsidRDefault="00000000">
            <w:pPr>
              <w:widowControl w:val="0"/>
              <w:spacing w:after="0" w:line="240" w:lineRule="auto"/>
            </w:pPr>
            <w:r>
              <w:rPr>
                <w:rFonts w:eastAsia="Calibri"/>
              </w:rPr>
              <w:t>Obslugiwane protokoły</w:t>
            </w:r>
          </w:p>
        </w:tc>
        <w:tc>
          <w:tcPr>
            <w:tcW w:w="6126" w:type="dxa"/>
          </w:tcPr>
          <w:p w14:paraId="6BB4ED08" w14:textId="77777777" w:rsidR="005719CE" w:rsidRDefault="00000000">
            <w:pPr>
              <w:widowControl w:val="0"/>
              <w:spacing w:after="0" w:line="240" w:lineRule="auto"/>
            </w:pPr>
            <w:r>
              <w:rPr>
                <w:rFonts w:eastAsia="Calibri"/>
              </w:rPr>
              <w:t>• IEEE 802.3x Flow control</w:t>
            </w:r>
          </w:p>
          <w:p w14:paraId="16F64990" w14:textId="77777777" w:rsidR="005719CE" w:rsidRDefault="00000000">
            <w:pPr>
              <w:widowControl w:val="0"/>
              <w:spacing w:after="0" w:line="240" w:lineRule="auto"/>
            </w:pPr>
            <w:r>
              <w:rPr>
                <w:rFonts w:eastAsia="Calibri"/>
              </w:rPr>
              <w:t>• IEEE 802.1Q VLANS</w:t>
            </w:r>
          </w:p>
          <w:p w14:paraId="0170E452" w14:textId="77777777" w:rsidR="005719CE" w:rsidRDefault="00000000">
            <w:pPr>
              <w:widowControl w:val="0"/>
              <w:spacing w:after="0" w:line="240" w:lineRule="auto"/>
            </w:pPr>
            <w:r>
              <w:rPr>
                <w:rFonts w:eastAsia="Calibri"/>
              </w:rPr>
              <w:t>• IEEE 802.1p Priority</w:t>
            </w:r>
          </w:p>
          <w:p w14:paraId="62F3CA72" w14:textId="77777777" w:rsidR="005719CE" w:rsidRDefault="00000000">
            <w:pPr>
              <w:widowControl w:val="0"/>
              <w:spacing w:after="0" w:line="240" w:lineRule="auto"/>
            </w:pPr>
            <w:r>
              <w:rPr>
                <w:rFonts w:eastAsia="Calibri"/>
              </w:rPr>
              <w:t>• IEEE 802.3ad Link Aggregation Control Protocol (LACP)</w:t>
            </w:r>
          </w:p>
          <w:p w14:paraId="3DAA5B25" w14:textId="77777777" w:rsidR="005719CE" w:rsidRDefault="00000000">
            <w:pPr>
              <w:widowControl w:val="0"/>
              <w:spacing w:after="0" w:line="240" w:lineRule="auto"/>
            </w:pPr>
            <w:r>
              <w:rPr>
                <w:rFonts w:eastAsia="Calibri"/>
              </w:rPr>
              <w:t>• IEEE 802.1X Port Access Authentication</w:t>
            </w:r>
          </w:p>
          <w:p w14:paraId="4B7776AE" w14:textId="77777777" w:rsidR="005719CE" w:rsidRDefault="00000000">
            <w:pPr>
              <w:widowControl w:val="0"/>
              <w:spacing w:after="0" w:line="240" w:lineRule="auto"/>
            </w:pPr>
            <w:r>
              <w:rPr>
                <w:rFonts w:eastAsia="Calibri"/>
              </w:rPr>
              <w:t>• IEEE 802.3az Energy Efficient Ethernet</w:t>
            </w:r>
          </w:p>
          <w:p w14:paraId="4110BBB1" w14:textId="77777777" w:rsidR="005719CE" w:rsidRDefault="00000000">
            <w:pPr>
              <w:widowControl w:val="0"/>
              <w:spacing w:after="0" w:line="240" w:lineRule="auto"/>
            </w:pPr>
            <w:r>
              <w:rPr>
                <w:rFonts w:eastAsia="Calibri"/>
              </w:rPr>
              <w:t>• IEEE 802.1D: Spanning Tree Protocol</w:t>
            </w:r>
          </w:p>
          <w:p w14:paraId="39FD3DE8" w14:textId="77777777" w:rsidR="005719CE" w:rsidRDefault="00000000">
            <w:pPr>
              <w:widowControl w:val="0"/>
              <w:spacing w:after="0" w:line="240" w:lineRule="auto"/>
            </w:pPr>
            <w:r>
              <w:rPr>
                <w:rFonts w:eastAsia="Calibri"/>
              </w:rPr>
              <w:t>• IEEE 802.1W: Rapid Spanning Tree Protocol</w:t>
            </w:r>
          </w:p>
          <w:p w14:paraId="433CC77F" w14:textId="77777777" w:rsidR="005719CE" w:rsidRDefault="00000000">
            <w:pPr>
              <w:widowControl w:val="0"/>
              <w:spacing w:after="0" w:line="240" w:lineRule="auto"/>
            </w:pPr>
            <w:r>
              <w:rPr>
                <w:rFonts w:eastAsia="Calibri"/>
              </w:rPr>
              <w:t>• IEEE 802.1S: Multiple Spanning Tree Protocol</w:t>
            </w:r>
          </w:p>
          <w:p w14:paraId="0DBE214A" w14:textId="77777777" w:rsidR="005719CE" w:rsidRDefault="00000000">
            <w:pPr>
              <w:widowControl w:val="0"/>
              <w:spacing w:after="0" w:line="240" w:lineRule="auto"/>
            </w:pPr>
            <w:r>
              <w:rPr>
                <w:rFonts w:eastAsia="Calibri"/>
              </w:rPr>
              <w:t>• IEEE 802.1AB Link Layer Discovery Protocol</w:t>
            </w:r>
          </w:p>
          <w:p w14:paraId="520FD8AB" w14:textId="77777777" w:rsidR="005719CE" w:rsidRDefault="00000000">
            <w:pPr>
              <w:widowControl w:val="0"/>
              <w:spacing w:after="0" w:line="240" w:lineRule="auto"/>
            </w:pPr>
            <w:r>
              <w:rPr>
                <w:rFonts w:eastAsia="Calibri"/>
              </w:rPr>
              <w:t>• Denial of service protection</w:t>
            </w:r>
          </w:p>
        </w:tc>
      </w:tr>
      <w:tr w:rsidR="005719CE" w14:paraId="2D0E6B1F" w14:textId="77777777">
        <w:tc>
          <w:tcPr>
            <w:tcW w:w="3085" w:type="dxa"/>
            <w:tcBorders>
              <w:top w:val="nil"/>
            </w:tcBorders>
          </w:tcPr>
          <w:p w14:paraId="75948CD9" w14:textId="54B3BABE" w:rsidR="005719CE" w:rsidRDefault="00000000">
            <w:pPr>
              <w:widowControl w:val="0"/>
              <w:spacing w:after="0" w:line="240" w:lineRule="auto"/>
            </w:pPr>
            <w:r>
              <w:rPr>
                <w:rFonts w:eastAsia="Calibri"/>
              </w:rPr>
              <w:t>M</w:t>
            </w:r>
            <w:r w:rsidR="00CA275A">
              <w:rPr>
                <w:rFonts w:eastAsia="Calibri"/>
              </w:rPr>
              <w:t>e</w:t>
            </w:r>
            <w:r>
              <w:rPr>
                <w:rFonts w:eastAsia="Calibri"/>
              </w:rPr>
              <w:t>chanizmy bezpieczeństwa</w:t>
            </w:r>
          </w:p>
        </w:tc>
        <w:tc>
          <w:tcPr>
            <w:tcW w:w="6126" w:type="dxa"/>
            <w:tcBorders>
              <w:top w:val="nil"/>
            </w:tcBorders>
          </w:tcPr>
          <w:p w14:paraId="5EEC5F3C" w14:textId="77777777" w:rsidR="005719CE" w:rsidRDefault="00000000">
            <w:pPr>
              <w:widowControl w:val="0"/>
              <w:spacing w:after="0" w:line="240" w:lineRule="auto"/>
            </w:pPr>
            <w:r>
              <w:rPr>
                <w:rFonts w:eastAsia="Calibri"/>
              </w:rPr>
              <w:t>Obsługa RADIUS  Wsparcie dla mechanizmów DHCP Snooping  Port Security</w:t>
            </w:r>
          </w:p>
        </w:tc>
      </w:tr>
      <w:tr w:rsidR="005719CE" w14:paraId="1C324565" w14:textId="77777777">
        <w:tc>
          <w:tcPr>
            <w:tcW w:w="3085" w:type="dxa"/>
            <w:tcBorders>
              <w:top w:val="nil"/>
            </w:tcBorders>
          </w:tcPr>
          <w:p w14:paraId="1D305470" w14:textId="77777777" w:rsidR="005719CE" w:rsidRDefault="00000000">
            <w:pPr>
              <w:widowControl w:val="0"/>
              <w:spacing w:after="0" w:line="240" w:lineRule="auto"/>
            </w:pPr>
            <w:r>
              <w:rPr>
                <w:rFonts w:eastAsia="Calibri"/>
              </w:rPr>
              <w:t>Wielkość tablicy MAC address</w:t>
            </w:r>
          </w:p>
        </w:tc>
        <w:tc>
          <w:tcPr>
            <w:tcW w:w="6126" w:type="dxa"/>
            <w:tcBorders>
              <w:top w:val="nil"/>
            </w:tcBorders>
          </w:tcPr>
          <w:p w14:paraId="62240DCC" w14:textId="77777777" w:rsidR="005719CE" w:rsidRDefault="00000000">
            <w:pPr>
              <w:widowControl w:val="0"/>
              <w:spacing w:after="0" w:line="240" w:lineRule="auto"/>
            </w:pPr>
            <w:r>
              <w:rPr>
                <w:rFonts w:eastAsia="Calibri"/>
              </w:rPr>
              <w:t>16000</w:t>
            </w:r>
          </w:p>
        </w:tc>
      </w:tr>
      <w:tr w:rsidR="005719CE" w14:paraId="7C627424" w14:textId="77777777">
        <w:trPr>
          <w:trHeight w:val="353"/>
        </w:trPr>
        <w:tc>
          <w:tcPr>
            <w:tcW w:w="3085" w:type="dxa"/>
          </w:tcPr>
          <w:p w14:paraId="4F9CF7F3" w14:textId="77777777" w:rsidR="005719CE" w:rsidRDefault="00000000">
            <w:pPr>
              <w:widowControl w:val="0"/>
            </w:pPr>
            <w:r>
              <w:t>Szybkość przełączania</w:t>
            </w:r>
          </w:p>
        </w:tc>
        <w:tc>
          <w:tcPr>
            <w:tcW w:w="6126" w:type="dxa"/>
          </w:tcPr>
          <w:p w14:paraId="53E11153" w14:textId="77777777" w:rsidR="005719CE" w:rsidRDefault="00000000">
            <w:pPr>
              <w:widowControl w:val="0"/>
              <w:spacing w:after="0" w:line="240" w:lineRule="auto"/>
            </w:pPr>
            <w:r>
              <w:rPr>
                <w:rFonts w:eastAsia="Calibri"/>
              </w:rPr>
              <w:t>130.9 Mpps</w:t>
            </w:r>
          </w:p>
        </w:tc>
      </w:tr>
      <w:tr w:rsidR="005719CE" w14:paraId="2F1616DB" w14:textId="77777777">
        <w:tc>
          <w:tcPr>
            <w:tcW w:w="3085" w:type="dxa"/>
          </w:tcPr>
          <w:p w14:paraId="680E84DC" w14:textId="77777777" w:rsidR="005719CE" w:rsidRDefault="00000000">
            <w:pPr>
              <w:widowControl w:val="0"/>
              <w:spacing w:after="0" w:line="240" w:lineRule="auto"/>
            </w:pPr>
            <w:r>
              <w:rPr>
                <w:rFonts w:eastAsia="Calibri"/>
              </w:rPr>
              <w:t>Wydajność przełączania</w:t>
            </w:r>
          </w:p>
        </w:tc>
        <w:tc>
          <w:tcPr>
            <w:tcW w:w="6126" w:type="dxa"/>
          </w:tcPr>
          <w:p w14:paraId="100BC876" w14:textId="77777777" w:rsidR="005719CE" w:rsidRDefault="00000000">
            <w:pPr>
              <w:widowControl w:val="0"/>
              <w:spacing w:after="0" w:line="240" w:lineRule="auto"/>
            </w:pPr>
            <w:r>
              <w:rPr>
                <w:rFonts w:eastAsia="Calibri"/>
              </w:rPr>
              <w:t>176 Gbps</w:t>
            </w:r>
          </w:p>
        </w:tc>
      </w:tr>
      <w:tr w:rsidR="005719CE" w14:paraId="7968A73C" w14:textId="77777777">
        <w:tc>
          <w:tcPr>
            <w:tcW w:w="3085" w:type="dxa"/>
            <w:tcBorders>
              <w:top w:val="nil"/>
            </w:tcBorders>
          </w:tcPr>
          <w:p w14:paraId="7D77AE0A" w14:textId="77777777" w:rsidR="005719CE" w:rsidRDefault="00000000">
            <w:pPr>
              <w:widowControl w:val="0"/>
              <w:spacing w:after="0" w:line="240" w:lineRule="auto"/>
            </w:pPr>
            <w:r>
              <w:rPr>
                <w:rFonts w:eastAsia="Calibri"/>
              </w:rPr>
              <w:t>Zasilanie</w:t>
            </w:r>
          </w:p>
        </w:tc>
        <w:tc>
          <w:tcPr>
            <w:tcW w:w="6126" w:type="dxa"/>
            <w:tcBorders>
              <w:top w:val="nil"/>
            </w:tcBorders>
          </w:tcPr>
          <w:p w14:paraId="735CB7B5" w14:textId="77777777" w:rsidR="005719CE" w:rsidRDefault="00000000">
            <w:pPr>
              <w:widowControl w:val="0"/>
              <w:spacing w:after="0" w:line="240" w:lineRule="auto"/>
            </w:pPr>
            <w:r>
              <w:rPr>
                <w:rFonts w:eastAsia="Calibri"/>
              </w:rPr>
              <w:t>Źródło zasilania  wbudowany zasilacz AC</w:t>
            </w:r>
          </w:p>
          <w:p w14:paraId="4700812E" w14:textId="77777777" w:rsidR="005719CE" w:rsidRDefault="00000000">
            <w:pPr>
              <w:widowControl w:val="0"/>
              <w:spacing w:after="0" w:line="240" w:lineRule="auto"/>
            </w:pPr>
            <w:r>
              <w:rPr>
                <w:rFonts w:eastAsia="Calibri"/>
              </w:rPr>
              <w:t>Napięcie wejściowe 100 - 240 V</w:t>
            </w:r>
          </w:p>
        </w:tc>
      </w:tr>
      <w:tr w:rsidR="005719CE" w14:paraId="427C0CBA" w14:textId="77777777">
        <w:tc>
          <w:tcPr>
            <w:tcW w:w="3085" w:type="dxa"/>
          </w:tcPr>
          <w:p w14:paraId="3EE4ADB8" w14:textId="77777777" w:rsidR="005719CE" w:rsidRDefault="00000000">
            <w:pPr>
              <w:widowControl w:val="0"/>
              <w:spacing w:after="0" w:line="240" w:lineRule="auto"/>
            </w:pPr>
            <w:r>
              <w:rPr>
                <w:rFonts w:eastAsia="Calibri"/>
              </w:rPr>
              <w:t>Interfejs zarządzania</w:t>
            </w:r>
          </w:p>
        </w:tc>
        <w:tc>
          <w:tcPr>
            <w:tcW w:w="6126" w:type="dxa"/>
          </w:tcPr>
          <w:p w14:paraId="65E94EAC" w14:textId="77777777" w:rsidR="005719CE" w:rsidRDefault="00000000">
            <w:pPr>
              <w:widowControl w:val="0"/>
              <w:spacing w:after="0" w:line="240" w:lineRule="auto"/>
            </w:pPr>
            <w:r>
              <w:rPr>
                <w:rFonts w:eastAsia="Calibri"/>
              </w:rPr>
              <w:t>www</w:t>
            </w:r>
          </w:p>
        </w:tc>
      </w:tr>
      <w:tr w:rsidR="005719CE" w14:paraId="3F948FD9" w14:textId="77777777">
        <w:tc>
          <w:tcPr>
            <w:tcW w:w="3085" w:type="dxa"/>
          </w:tcPr>
          <w:p w14:paraId="2C011928" w14:textId="77777777" w:rsidR="005719CE" w:rsidRDefault="00000000">
            <w:pPr>
              <w:widowControl w:val="0"/>
              <w:spacing w:after="0" w:line="240" w:lineRule="auto"/>
            </w:pPr>
            <w:r>
              <w:rPr>
                <w:rFonts w:eastAsia="Calibri"/>
              </w:rPr>
              <w:t>Gwarancja</w:t>
            </w:r>
          </w:p>
        </w:tc>
        <w:tc>
          <w:tcPr>
            <w:tcW w:w="6126" w:type="dxa"/>
          </w:tcPr>
          <w:p w14:paraId="412EE85A" w14:textId="77777777" w:rsidR="005719CE" w:rsidRDefault="00000000">
            <w:pPr>
              <w:widowControl w:val="0"/>
              <w:spacing w:after="0" w:line="240" w:lineRule="auto"/>
            </w:pPr>
            <w:r>
              <w:rPr>
                <w:rFonts w:eastAsia="Calibri"/>
              </w:rPr>
              <w:t xml:space="preserve">Wymagana dożywotnia gwarancja na przełączniki - minimum 5 lat od daty zakończenia sprzedaży danego przełącznika przez Producenta. Niedopuszczalna jakakolwiek późniejsza (po dokonaniu zapłaty za niniejsze zamówienie) odpłatność za kontrakt gwarancyjny. Wymagana realizacja kontraktu gwarancyjnego poprzez serwis WWW Producenta urządzeń, w szczególności: </w:t>
            </w:r>
            <w:r>
              <w:rPr>
                <w:rFonts w:eastAsia="Calibri"/>
              </w:rPr>
              <w:t> dostęp do wiedzy i zaktualizowanej dokumentacji technicznej zgromadzonej na serwerach Producenta urządzeń. Produkt musi pochodzić z autoryzowanego kanału dystrybucyjnego na rynek Polski</w:t>
            </w:r>
          </w:p>
        </w:tc>
      </w:tr>
    </w:tbl>
    <w:p w14:paraId="415F58CA" w14:textId="77777777" w:rsidR="005719CE" w:rsidRDefault="005719CE"/>
    <w:p w14:paraId="01DE18E0" w14:textId="77777777" w:rsidR="005719CE" w:rsidRDefault="005719CE"/>
    <w:p w14:paraId="406CF489" w14:textId="77777777" w:rsidR="005719CE" w:rsidRDefault="005719CE"/>
    <w:p w14:paraId="2EEDF73A" w14:textId="77777777" w:rsidR="005719CE" w:rsidRDefault="005719CE"/>
    <w:p w14:paraId="7A32332D" w14:textId="77777777" w:rsidR="005719CE" w:rsidRDefault="005719CE"/>
    <w:p w14:paraId="72E22DA5" w14:textId="77777777" w:rsidR="005719CE" w:rsidRDefault="005719CE"/>
    <w:p w14:paraId="69FE0D26" w14:textId="77777777" w:rsidR="005719CE" w:rsidRDefault="005719CE"/>
    <w:p w14:paraId="524B4E89" w14:textId="77777777" w:rsidR="005719CE" w:rsidRDefault="005719CE"/>
    <w:p w14:paraId="2E10AE8B" w14:textId="77777777" w:rsidR="005719CE" w:rsidRDefault="005719CE"/>
    <w:tbl>
      <w:tblPr>
        <w:tblStyle w:val="Tabela-Siatka"/>
        <w:tblW w:w="9212" w:type="dxa"/>
        <w:tblLayout w:type="fixed"/>
        <w:tblLook w:val="04A0" w:firstRow="1" w:lastRow="0" w:firstColumn="1" w:lastColumn="0" w:noHBand="0" w:noVBand="1"/>
      </w:tblPr>
      <w:tblGrid>
        <w:gridCol w:w="3085"/>
        <w:gridCol w:w="6127"/>
      </w:tblGrid>
      <w:tr w:rsidR="005719CE" w14:paraId="429ED597" w14:textId="77777777">
        <w:tc>
          <w:tcPr>
            <w:tcW w:w="9211" w:type="dxa"/>
            <w:gridSpan w:val="2"/>
          </w:tcPr>
          <w:p w14:paraId="5104DCFE" w14:textId="77777777" w:rsidR="005719CE" w:rsidRDefault="00000000">
            <w:pPr>
              <w:widowControl w:val="0"/>
              <w:spacing w:after="0" w:line="240" w:lineRule="auto"/>
              <w:jc w:val="center"/>
            </w:pPr>
            <w:bookmarkStart w:id="1" w:name="_Hlk159571503"/>
            <w:r>
              <w:rPr>
                <w:rFonts w:eastAsia="Calibri"/>
              </w:rPr>
              <w:lastRenderedPageBreak/>
              <w:t xml:space="preserve"> Przełącznik sieciowy zarządzalny L2+ 48 portów 1GB  -  1 szt</w:t>
            </w:r>
            <w:bookmarkEnd w:id="1"/>
          </w:p>
        </w:tc>
      </w:tr>
      <w:tr w:rsidR="005719CE" w14:paraId="795EE0BE" w14:textId="77777777">
        <w:tc>
          <w:tcPr>
            <w:tcW w:w="3085" w:type="dxa"/>
          </w:tcPr>
          <w:p w14:paraId="6274C91C" w14:textId="77777777" w:rsidR="005719CE" w:rsidRDefault="00000000">
            <w:pPr>
              <w:widowControl w:val="0"/>
              <w:spacing w:after="0" w:line="240" w:lineRule="auto"/>
            </w:pPr>
            <w:r>
              <w:rPr>
                <w:rFonts w:eastAsia="Calibri"/>
              </w:rPr>
              <w:t>Porty Ethernet POE (Rj45)</w:t>
            </w:r>
          </w:p>
        </w:tc>
        <w:tc>
          <w:tcPr>
            <w:tcW w:w="6126" w:type="dxa"/>
          </w:tcPr>
          <w:p w14:paraId="35542D69" w14:textId="77777777" w:rsidR="005719CE" w:rsidRDefault="00000000">
            <w:pPr>
              <w:widowControl w:val="0"/>
              <w:spacing w:after="0" w:line="240" w:lineRule="auto"/>
            </w:pPr>
            <w:r>
              <w:rPr>
                <w:rFonts w:eastAsia="Calibri"/>
              </w:rPr>
              <w:t>48 x RJ-45 autosensing 10/100/1000 C</w:t>
            </w:r>
          </w:p>
        </w:tc>
      </w:tr>
      <w:tr w:rsidR="005719CE" w14:paraId="36CD3FFF" w14:textId="77777777">
        <w:tc>
          <w:tcPr>
            <w:tcW w:w="3085" w:type="dxa"/>
          </w:tcPr>
          <w:p w14:paraId="47E0E3CA" w14:textId="77777777" w:rsidR="005719CE" w:rsidRDefault="00000000">
            <w:pPr>
              <w:widowControl w:val="0"/>
              <w:spacing w:after="0" w:line="240" w:lineRule="auto"/>
            </w:pPr>
            <w:r>
              <w:rPr>
                <w:rFonts w:eastAsia="Calibri"/>
              </w:rPr>
              <w:t>Porty SFP</w:t>
            </w:r>
          </w:p>
        </w:tc>
        <w:tc>
          <w:tcPr>
            <w:tcW w:w="6126" w:type="dxa"/>
          </w:tcPr>
          <w:p w14:paraId="198FA583" w14:textId="77777777" w:rsidR="005719CE" w:rsidRDefault="00000000">
            <w:pPr>
              <w:widowControl w:val="0"/>
              <w:spacing w:after="0" w:line="240" w:lineRule="auto"/>
            </w:pPr>
            <w:r>
              <w:rPr>
                <w:rFonts w:eastAsia="Calibri"/>
              </w:rPr>
              <w:t>4 x SFP/SFP+ 1G/10G Ethernet</w:t>
            </w:r>
          </w:p>
        </w:tc>
      </w:tr>
      <w:tr w:rsidR="005719CE" w14:paraId="47CA8182" w14:textId="77777777">
        <w:tc>
          <w:tcPr>
            <w:tcW w:w="3085" w:type="dxa"/>
          </w:tcPr>
          <w:p w14:paraId="7B1CF652" w14:textId="77777777" w:rsidR="005719CE" w:rsidRDefault="00000000">
            <w:pPr>
              <w:widowControl w:val="0"/>
              <w:spacing w:after="0" w:line="240" w:lineRule="auto"/>
            </w:pPr>
            <w:r>
              <w:rPr>
                <w:rFonts w:eastAsia="Calibri"/>
              </w:rPr>
              <w:t>Pamięć</w:t>
            </w:r>
          </w:p>
        </w:tc>
        <w:tc>
          <w:tcPr>
            <w:tcW w:w="6126" w:type="dxa"/>
          </w:tcPr>
          <w:p w14:paraId="21229C14" w14:textId="77777777" w:rsidR="005719CE" w:rsidRDefault="00000000">
            <w:pPr>
              <w:widowControl w:val="0"/>
              <w:spacing w:after="0" w:line="240" w:lineRule="auto"/>
            </w:pPr>
            <w:r>
              <w:rPr>
                <w:rFonts w:eastAsia="Calibri"/>
              </w:rPr>
              <w:t>512 MB SDRAM 256 MB flash</w:t>
            </w:r>
          </w:p>
        </w:tc>
      </w:tr>
      <w:tr w:rsidR="005719CE" w14:paraId="5010E365" w14:textId="77777777">
        <w:tc>
          <w:tcPr>
            <w:tcW w:w="3085" w:type="dxa"/>
          </w:tcPr>
          <w:p w14:paraId="3ED734B0" w14:textId="77777777" w:rsidR="005719CE" w:rsidRDefault="00000000">
            <w:pPr>
              <w:widowControl w:val="0"/>
              <w:spacing w:after="0" w:line="240" w:lineRule="auto"/>
            </w:pPr>
            <w:r>
              <w:rPr>
                <w:rFonts w:eastAsia="Calibri"/>
              </w:rPr>
              <w:t>Obudowa</w:t>
            </w:r>
          </w:p>
        </w:tc>
        <w:tc>
          <w:tcPr>
            <w:tcW w:w="6126" w:type="dxa"/>
          </w:tcPr>
          <w:p w14:paraId="610D2352" w14:textId="77777777" w:rsidR="005719CE" w:rsidRDefault="00000000">
            <w:pPr>
              <w:widowControl w:val="0"/>
              <w:spacing w:after="0" w:line="240" w:lineRule="auto"/>
            </w:pPr>
            <w:r>
              <w:rPr>
                <w:rFonts w:eastAsia="Calibri"/>
              </w:rPr>
              <w:t>1U Rack 19” dołączone uchwyty montażowe</w:t>
            </w:r>
          </w:p>
        </w:tc>
      </w:tr>
      <w:tr w:rsidR="005719CE" w14:paraId="72C0762F" w14:textId="77777777">
        <w:tc>
          <w:tcPr>
            <w:tcW w:w="3085" w:type="dxa"/>
          </w:tcPr>
          <w:p w14:paraId="32F07508" w14:textId="77777777" w:rsidR="005719CE" w:rsidRDefault="00000000">
            <w:pPr>
              <w:widowControl w:val="0"/>
              <w:spacing w:after="0" w:line="240" w:lineRule="auto"/>
            </w:pPr>
            <w:r>
              <w:rPr>
                <w:rFonts w:eastAsia="Calibri"/>
              </w:rPr>
              <w:t>Obsługiwane protokoły</w:t>
            </w:r>
          </w:p>
        </w:tc>
        <w:tc>
          <w:tcPr>
            <w:tcW w:w="6126" w:type="dxa"/>
          </w:tcPr>
          <w:p w14:paraId="4DC6777E" w14:textId="77777777" w:rsidR="005719CE" w:rsidRDefault="00000000">
            <w:pPr>
              <w:widowControl w:val="0"/>
              <w:spacing w:after="0" w:line="240" w:lineRule="auto"/>
            </w:pPr>
            <w:r>
              <w:rPr>
                <w:rFonts w:eastAsia="Calibri"/>
              </w:rPr>
              <w:t>• IEEE 802.3x Flow control</w:t>
            </w:r>
          </w:p>
          <w:p w14:paraId="51E2F078" w14:textId="77777777" w:rsidR="005719CE" w:rsidRDefault="00000000">
            <w:pPr>
              <w:widowControl w:val="0"/>
              <w:spacing w:after="0" w:line="240" w:lineRule="auto"/>
            </w:pPr>
            <w:r>
              <w:rPr>
                <w:rFonts w:eastAsia="Calibri"/>
              </w:rPr>
              <w:t>• IEEE 802.1Q VLANS</w:t>
            </w:r>
          </w:p>
          <w:p w14:paraId="0A300151" w14:textId="77777777" w:rsidR="005719CE" w:rsidRDefault="00000000">
            <w:pPr>
              <w:widowControl w:val="0"/>
              <w:spacing w:after="0" w:line="240" w:lineRule="auto"/>
            </w:pPr>
            <w:r>
              <w:rPr>
                <w:rFonts w:eastAsia="Calibri"/>
              </w:rPr>
              <w:t>• IEEE 802.1p Priority</w:t>
            </w:r>
          </w:p>
          <w:p w14:paraId="6EAF2C1B" w14:textId="77777777" w:rsidR="005719CE" w:rsidRDefault="00000000">
            <w:pPr>
              <w:widowControl w:val="0"/>
              <w:spacing w:after="0" w:line="240" w:lineRule="auto"/>
            </w:pPr>
            <w:r>
              <w:rPr>
                <w:rFonts w:eastAsia="Calibri"/>
              </w:rPr>
              <w:t>• IEEE 802.3ad Link Aggregation Control Protocol (LACP)</w:t>
            </w:r>
          </w:p>
          <w:p w14:paraId="513C040A" w14:textId="77777777" w:rsidR="005719CE" w:rsidRDefault="00000000">
            <w:pPr>
              <w:widowControl w:val="0"/>
              <w:spacing w:after="0" w:line="240" w:lineRule="auto"/>
            </w:pPr>
            <w:r>
              <w:rPr>
                <w:rFonts w:eastAsia="Calibri"/>
              </w:rPr>
              <w:t>• IEEE 802.1X Port Access Authentication</w:t>
            </w:r>
          </w:p>
          <w:p w14:paraId="0673D3C5" w14:textId="77777777" w:rsidR="005719CE" w:rsidRDefault="00000000">
            <w:pPr>
              <w:widowControl w:val="0"/>
              <w:spacing w:after="0" w:line="240" w:lineRule="auto"/>
            </w:pPr>
            <w:r>
              <w:rPr>
                <w:rFonts w:eastAsia="Calibri"/>
              </w:rPr>
              <w:t>• IEEE 802.3az Energy Efficient Ethernet</w:t>
            </w:r>
          </w:p>
          <w:p w14:paraId="248FE1C4" w14:textId="77777777" w:rsidR="005719CE" w:rsidRDefault="00000000">
            <w:pPr>
              <w:widowControl w:val="0"/>
              <w:spacing w:after="0" w:line="240" w:lineRule="auto"/>
            </w:pPr>
            <w:r>
              <w:rPr>
                <w:rFonts w:eastAsia="Calibri"/>
              </w:rPr>
              <w:t>• IEEE 802.1D: Spanning Tree Protocol</w:t>
            </w:r>
          </w:p>
          <w:p w14:paraId="3ED4F4B2" w14:textId="77777777" w:rsidR="005719CE" w:rsidRDefault="00000000">
            <w:pPr>
              <w:widowControl w:val="0"/>
              <w:spacing w:after="0" w:line="240" w:lineRule="auto"/>
            </w:pPr>
            <w:r>
              <w:rPr>
                <w:rFonts w:eastAsia="Calibri"/>
              </w:rPr>
              <w:t>• IEEE 802.1W: Rapid Spanning Tree Protocol</w:t>
            </w:r>
          </w:p>
          <w:p w14:paraId="0ABC1800" w14:textId="77777777" w:rsidR="005719CE" w:rsidRDefault="00000000">
            <w:pPr>
              <w:widowControl w:val="0"/>
              <w:spacing w:after="0" w:line="240" w:lineRule="auto"/>
            </w:pPr>
            <w:r>
              <w:rPr>
                <w:rFonts w:eastAsia="Calibri"/>
              </w:rPr>
              <w:t>• IEEE 802.1S: Multiple Spanning Tree Protocol</w:t>
            </w:r>
          </w:p>
          <w:p w14:paraId="6CF1687A" w14:textId="77777777" w:rsidR="005719CE" w:rsidRDefault="00000000">
            <w:pPr>
              <w:widowControl w:val="0"/>
              <w:spacing w:after="0" w:line="240" w:lineRule="auto"/>
            </w:pPr>
            <w:r>
              <w:rPr>
                <w:rFonts w:eastAsia="Calibri"/>
              </w:rPr>
              <w:t>• IEEE 802.1AB Link Layer Discovery Protocol</w:t>
            </w:r>
          </w:p>
          <w:p w14:paraId="0441FE2B" w14:textId="77777777" w:rsidR="005719CE" w:rsidRDefault="00000000">
            <w:pPr>
              <w:widowControl w:val="0"/>
              <w:spacing w:after="0" w:line="240" w:lineRule="auto"/>
            </w:pPr>
            <w:r>
              <w:rPr>
                <w:rFonts w:eastAsia="Calibri"/>
              </w:rPr>
              <w:t>• Denial of service protection</w:t>
            </w:r>
          </w:p>
        </w:tc>
      </w:tr>
      <w:tr w:rsidR="005719CE" w14:paraId="4159F8D7" w14:textId="77777777">
        <w:tc>
          <w:tcPr>
            <w:tcW w:w="3085" w:type="dxa"/>
            <w:tcBorders>
              <w:top w:val="nil"/>
            </w:tcBorders>
          </w:tcPr>
          <w:p w14:paraId="5C82DC9D" w14:textId="1C8DAA79" w:rsidR="005719CE" w:rsidRDefault="00000000">
            <w:pPr>
              <w:widowControl w:val="0"/>
              <w:spacing w:after="0" w:line="240" w:lineRule="auto"/>
            </w:pPr>
            <w:r>
              <w:rPr>
                <w:rFonts w:eastAsia="Calibri"/>
              </w:rPr>
              <w:t>M</w:t>
            </w:r>
            <w:r w:rsidR="00C7271D">
              <w:rPr>
                <w:rFonts w:eastAsia="Calibri"/>
              </w:rPr>
              <w:t>e</w:t>
            </w:r>
            <w:r>
              <w:rPr>
                <w:rFonts w:eastAsia="Calibri"/>
              </w:rPr>
              <w:t>chanizmy bezpieczeństwa</w:t>
            </w:r>
          </w:p>
        </w:tc>
        <w:tc>
          <w:tcPr>
            <w:tcW w:w="6126" w:type="dxa"/>
            <w:tcBorders>
              <w:top w:val="nil"/>
            </w:tcBorders>
          </w:tcPr>
          <w:p w14:paraId="23565079" w14:textId="77777777" w:rsidR="005719CE" w:rsidRDefault="00000000">
            <w:pPr>
              <w:widowControl w:val="0"/>
              <w:spacing w:after="0" w:line="240" w:lineRule="auto"/>
            </w:pPr>
            <w:r>
              <w:rPr>
                <w:rFonts w:eastAsia="Calibri"/>
              </w:rPr>
              <w:t>Obsługa RADIUS  Wsparcie dla mechanizmów DHCP Snooping  Port Security</w:t>
            </w:r>
          </w:p>
        </w:tc>
      </w:tr>
      <w:tr w:rsidR="005719CE" w14:paraId="7CDF9348" w14:textId="77777777">
        <w:tc>
          <w:tcPr>
            <w:tcW w:w="3085" w:type="dxa"/>
            <w:tcBorders>
              <w:top w:val="nil"/>
            </w:tcBorders>
          </w:tcPr>
          <w:p w14:paraId="33AC2380" w14:textId="77777777" w:rsidR="005719CE" w:rsidRDefault="00000000">
            <w:pPr>
              <w:widowControl w:val="0"/>
              <w:spacing w:after="0" w:line="240" w:lineRule="auto"/>
            </w:pPr>
            <w:r>
              <w:rPr>
                <w:rFonts w:eastAsia="Calibri"/>
              </w:rPr>
              <w:t>Wielkość tablicy MAC address</w:t>
            </w:r>
          </w:p>
        </w:tc>
        <w:tc>
          <w:tcPr>
            <w:tcW w:w="6126" w:type="dxa"/>
            <w:tcBorders>
              <w:top w:val="nil"/>
            </w:tcBorders>
          </w:tcPr>
          <w:p w14:paraId="6DDAC5B5" w14:textId="77777777" w:rsidR="005719CE" w:rsidRDefault="00000000">
            <w:pPr>
              <w:widowControl w:val="0"/>
              <w:spacing w:after="0" w:line="240" w:lineRule="auto"/>
            </w:pPr>
            <w:r>
              <w:rPr>
                <w:rFonts w:eastAsia="Calibri"/>
              </w:rPr>
              <w:t>16000</w:t>
            </w:r>
          </w:p>
        </w:tc>
      </w:tr>
      <w:tr w:rsidR="005719CE" w14:paraId="32F751DA" w14:textId="77777777">
        <w:trPr>
          <w:trHeight w:val="353"/>
        </w:trPr>
        <w:tc>
          <w:tcPr>
            <w:tcW w:w="3085" w:type="dxa"/>
          </w:tcPr>
          <w:p w14:paraId="28222BF7" w14:textId="77777777" w:rsidR="005719CE" w:rsidRDefault="00000000">
            <w:pPr>
              <w:widowControl w:val="0"/>
            </w:pPr>
            <w:bookmarkStart w:id="2" w:name="_GoBack1"/>
            <w:bookmarkEnd w:id="2"/>
            <w:r>
              <w:t>Szybkość przełączania</w:t>
            </w:r>
          </w:p>
        </w:tc>
        <w:tc>
          <w:tcPr>
            <w:tcW w:w="6126" w:type="dxa"/>
          </w:tcPr>
          <w:p w14:paraId="41FD717B" w14:textId="77777777" w:rsidR="005719CE" w:rsidRDefault="00000000">
            <w:pPr>
              <w:widowControl w:val="0"/>
              <w:spacing w:after="0" w:line="240" w:lineRule="auto"/>
            </w:pPr>
            <w:r>
              <w:rPr>
                <w:rFonts w:eastAsia="Calibri"/>
              </w:rPr>
              <w:t>130.9 Mpps</w:t>
            </w:r>
          </w:p>
        </w:tc>
      </w:tr>
      <w:tr w:rsidR="005719CE" w14:paraId="33A93D48" w14:textId="77777777">
        <w:tc>
          <w:tcPr>
            <w:tcW w:w="3085" w:type="dxa"/>
          </w:tcPr>
          <w:p w14:paraId="550BEDB0" w14:textId="77777777" w:rsidR="005719CE" w:rsidRDefault="00000000">
            <w:pPr>
              <w:widowControl w:val="0"/>
              <w:spacing w:after="0" w:line="240" w:lineRule="auto"/>
            </w:pPr>
            <w:r>
              <w:rPr>
                <w:rFonts w:eastAsia="Calibri"/>
              </w:rPr>
              <w:t>Wydajność przełączania</w:t>
            </w:r>
          </w:p>
        </w:tc>
        <w:tc>
          <w:tcPr>
            <w:tcW w:w="6126" w:type="dxa"/>
          </w:tcPr>
          <w:p w14:paraId="45AA5C71" w14:textId="77777777" w:rsidR="005719CE" w:rsidRDefault="00000000">
            <w:pPr>
              <w:widowControl w:val="0"/>
              <w:spacing w:after="0" w:line="240" w:lineRule="auto"/>
            </w:pPr>
            <w:r>
              <w:rPr>
                <w:rFonts w:eastAsia="Calibri"/>
              </w:rPr>
              <w:t>176 Gbps</w:t>
            </w:r>
          </w:p>
        </w:tc>
      </w:tr>
      <w:tr w:rsidR="005719CE" w14:paraId="36A1521D" w14:textId="77777777">
        <w:tc>
          <w:tcPr>
            <w:tcW w:w="3085" w:type="dxa"/>
            <w:tcBorders>
              <w:top w:val="nil"/>
            </w:tcBorders>
          </w:tcPr>
          <w:p w14:paraId="7EA0D203" w14:textId="77777777" w:rsidR="005719CE" w:rsidRDefault="00000000">
            <w:pPr>
              <w:widowControl w:val="0"/>
              <w:spacing w:after="0" w:line="240" w:lineRule="auto"/>
            </w:pPr>
            <w:r>
              <w:rPr>
                <w:rFonts w:eastAsia="Calibri"/>
              </w:rPr>
              <w:t>Zasilanie</w:t>
            </w:r>
          </w:p>
        </w:tc>
        <w:tc>
          <w:tcPr>
            <w:tcW w:w="6126" w:type="dxa"/>
            <w:tcBorders>
              <w:top w:val="nil"/>
            </w:tcBorders>
          </w:tcPr>
          <w:p w14:paraId="7AA5BBA4" w14:textId="77777777" w:rsidR="005719CE" w:rsidRDefault="00000000">
            <w:pPr>
              <w:widowControl w:val="0"/>
              <w:spacing w:after="0" w:line="240" w:lineRule="auto"/>
            </w:pPr>
            <w:r>
              <w:rPr>
                <w:rFonts w:eastAsia="Calibri"/>
              </w:rPr>
              <w:t>Źródło zasilania  wbudowany zasilacz AC</w:t>
            </w:r>
          </w:p>
          <w:p w14:paraId="431C7AD7" w14:textId="77777777" w:rsidR="005719CE" w:rsidRDefault="00000000">
            <w:pPr>
              <w:widowControl w:val="0"/>
              <w:spacing w:after="0" w:line="240" w:lineRule="auto"/>
            </w:pPr>
            <w:r>
              <w:rPr>
                <w:rFonts w:eastAsia="Calibri"/>
              </w:rPr>
              <w:t>Napięcie wejściowe 100 - 240 V</w:t>
            </w:r>
          </w:p>
        </w:tc>
      </w:tr>
      <w:tr w:rsidR="005719CE" w14:paraId="24ECAF12" w14:textId="77777777">
        <w:tc>
          <w:tcPr>
            <w:tcW w:w="3085" w:type="dxa"/>
          </w:tcPr>
          <w:p w14:paraId="65D7EB5D" w14:textId="77777777" w:rsidR="005719CE" w:rsidRDefault="00000000">
            <w:pPr>
              <w:widowControl w:val="0"/>
              <w:spacing w:after="0" w:line="240" w:lineRule="auto"/>
            </w:pPr>
            <w:r>
              <w:rPr>
                <w:rFonts w:eastAsia="Calibri"/>
              </w:rPr>
              <w:t>Interfejs zarządzania</w:t>
            </w:r>
          </w:p>
        </w:tc>
        <w:tc>
          <w:tcPr>
            <w:tcW w:w="6126" w:type="dxa"/>
          </w:tcPr>
          <w:p w14:paraId="276D3DE8" w14:textId="77777777" w:rsidR="005719CE" w:rsidRDefault="00000000">
            <w:pPr>
              <w:widowControl w:val="0"/>
              <w:spacing w:after="0" w:line="240" w:lineRule="auto"/>
            </w:pPr>
            <w:r>
              <w:rPr>
                <w:rFonts w:eastAsia="Calibri"/>
              </w:rPr>
              <w:t>www</w:t>
            </w:r>
          </w:p>
        </w:tc>
      </w:tr>
      <w:tr w:rsidR="005719CE" w14:paraId="15724A90" w14:textId="77777777">
        <w:tc>
          <w:tcPr>
            <w:tcW w:w="3085" w:type="dxa"/>
          </w:tcPr>
          <w:p w14:paraId="27050B73" w14:textId="77777777" w:rsidR="005719CE" w:rsidRDefault="00000000">
            <w:pPr>
              <w:widowControl w:val="0"/>
              <w:spacing w:after="0" w:line="240" w:lineRule="auto"/>
            </w:pPr>
            <w:r>
              <w:rPr>
                <w:rFonts w:eastAsia="Calibri"/>
              </w:rPr>
              <w:t>Gwarancja</w:t>
            </w:r>
          </w:p>
        </w:tc>
        <w:tc>
          <w:tcPr>
            <w:tcW w:w="6126" w:type="dxa"/>
          </w:tcPr>
          <w:p w14:paraId="07950051" w14:textId="77777777" w:rsidR="005719CE" w:rsidRDefault="00000000">
            <w:pPr>
              <w:widowControl w:val="0"/>
              <w:spacing w:after="0" w:line="240" w:lineRule="auto"/>
            </w:pPr>
            <w:r>
              <w:rPr>
                <w:rFonts w:eastAsia="Calibri"/>
              </w:rPr>
              <w:t xml:space="preserve">Wymagana dożywotnia gwarancja na przełączniki - minimum 5 lat od daty zakończenia sprzedaży danego przełącznika przez Producenta. Niedopuszczalna jakakolwiek późniejsza (po dokonaniu zapłaty za niniejsze zamówienie) odpłatność za kontrakt gwarancyjny. Wymagana realizacja kontraktu gwarancyjnego poprzez serwis WWW Producenta urządzeń, w szczególności: </w:t>
            </w:r>
            <w:r>
              <w:rPr>
                <w:rFonts w:eastAsia="Calibri"/>
              </w:rPr>
              <w:t> dostęp do wiedzy i zaktualizowanej dokumentacji technicznej zgromadzonej na serwerach Producenta urządzeń.</w:t>
            </w:r>
          </w:p>
          <w:p w14:paraId="7A39C61D" w14:textId="77777777" w:rsidR="005719CE" w:rsidRDefault="00000000">
            <w:pPr>
              <w:widowControl w:val="0"/>
              <w:spacing w:after="0" w:line="240" w:lineRule="auto"/>
            </w:pPr>
            <w:r>
              <w:rPr>
                <w:rFonts w:eastAsia="Calibri"/>
              </w:rPr>
              <w:t>Produkt musi pochodzić z autoryzowanego kanału dystrybucyjnego na rynek Polski</w:t>
            </w:r>
          </w:p>
        </w:tc>
      </w:tr>
    </w:tbl>
    <w:p w14:paraId="5CA32BE3" w14:textId="77777777" w:rsidR="005719CE" w:rsidRDefault="005719CE"/>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051"/>
        <w:gridCol w:w="6131"/>
      </w:tblGrid>
      <w:tr w:rsidR="005719CE" w14:paraId="3734136A" w14:textId="77777777">
        <w:tc>
          <w:tcPr>
            <w:tcW w:w="9071" w:type="dxa"/>
            <w:gridSpan w:val="2"/>
            <w:tcBorders>
              <w:top w:val="single" w:sz="4" w:space="0" w:color="000000"/>
              <w:left w:val="single" w:sz="4" w:space="0" w:color="000000"/>
              <w:bottom w:val="single" w:sz="4" w:space="0" w:color="000000"/>
              <w:right w:val="single" w:sz="4" w:space="0" w:color="000000"/>
            </w:tcBorders>
          </w:tcPr>
          <w:p w14:paraId="7AD7786E" w14:textId="77777777" w:rsidR="005719CE" w:rsidRDefault="00000000">
            <w:pPr>
              <w:pStyle w:val="Zawartotabeli"/>
              <w:jc w:val="center"/>
            </w:pPr>
            <w:r>
              <w:t>Wkładki światłowodowe SFP+ 6 szt</w:t>
            </w:r>
          </w:p>
        </w:tc>
      </w:tr>
      <w:tr w:rsidR="005719CE" w14:paraId="7DDBB848" w14:textId="77777777">
        <w:tc>
          <w:tcPr>
            <w:tcW w:w="3014" w:type="dxa"/>
            <w:tcBorders>
              <w:left w:val="single" w:sz="4" w:space="0" w:color="000000"/>
              <w:bottom w:val="single" w:sz="4" w:space="0" w:color="000000"/>
            </w:tcBorders>
          </w:tcPr>
          <w:p w14:paraId="63D9A24C" w14:textId="77777777" w:rsidR="005719CE" w:rsidRDefault="00000000">
            <w:pPr>
              <w:pStyle w:val="Zawartotabeli"/>
            </w:pPr>
            <w:r>
              <w:t>Wkładki SFP+ 10GBE SM</w:t>
            </w:r>
          </w:p>
        </w:tc>
        <w:tc>
          <w:tcPr>
            <w:tcW w:w="6057" w:type="dxa"/>
            <w:tcBorders>
              <w:left w:val="single" w:sz="4" w:space="0" w:color="000000"/>
              <w:bottom w:val="single" w:sz="4" w:space="0" w:color="000000"/>
              <w:right w:val="single" w:sz="4" w:space="0" w:color="000000"/>
            </w:tcBorders>
          </w:tcPr>
          <w:p w14:paraId="2F3420D1" w14:textId="77777777" w:rsidR="005719CE" w:rsidRDefault="00000000">
            <w:pPr>
              <w:pStyle w:val="Zawartotabeli"/>
            </w:pPr>
            <w:r>
              <w:t>Wkładki SFP+ 10GB kompatybilne z powyższymi przełącznikami</w:t>
            </w:r>
          </w:p>
        </w:tc>
      </w:tr>
    </w:tbl>
    <w:p w14:paraId="7139917F" w14:textId="77777777" w:rsidR="005719CE" w:rsidRDefault="005719CE"/>
    <w:sectPr w:rsidR="005719C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9FE2" w14:textId="77777777" w:rsidR="006B65D7" w:rsidRDefault="006B65D7" w:rsidP="004D6125">
      <w:pPr>
        <w:spacing w:after="0" w:line="240" w:lineRule="auto"/>
      </w:pPr>
      <w:r>
        <w:separator/>
      </w:r>
    </w:p>
  </w:endnote>
  <w:endnote w:type="continuationSeparator" w:id="0">
    <w:p w14:paraId="4894CC24" w14:textId="77777777" w:rsidR="006B65D7" w:rsidRDefault="006B65D7" w:rsidP="004D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EE"/>
    <w:family w:val="roman"/>
    <w:pitch w:val="variable"/>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D69E" w14:textId="77777777" w:rsidR="004D6125" w:rsidRDefault="004D61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9B02" w14:textId="77777777" w:rsidR="004D6125" w:rsidRDefault="004D612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1513" w14:textId="77777777" w:rsidR="004D6125" w:rsidRDefault="004D61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AA2E" w14:textId="77777777" w:rsidR="006B65D7" w:rsidRDefault="006B65D7" w:rsidP="004D6125">
      <w:pPr>
        <w:spacing w:after="0" w:line="240" w:lineRule="auto"/>
      </w:pPr>
      <w:r>
        <w:separator/>
      </w:r>
    </w:p>
  </w:footnote>
  <w:footnote w:type="continuationSeparator" w:id="0">
    <w:p w14:paraId="45358CD1" w14:textId="77777777" w:rsidR="006B65D7" w:rsidRDefault="006B65D7" w:rsidP="004D6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207D" w14:textId="77777777" w:rsidR="004D6125" w:rsidRDefault="004D61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931B" w14:textId="77777777" w:rsidR="004D6125" w:rsidRDefault="004D6125" w:rsidP="004D6125">
    <w:pPr>
      <w:pStyle w:val="Standard"/>
      <w:rPr>
        <w:rFonts w:ascii="Times New Roman" w:hAnsi="Times New Roman" w:cs="Times New Roman"/>
      </w:rPr>
    </w:pPr>
  </w:p>
  <w:p w14:paraId="1CFC4342" w14:textId="11A4B2AA" w:rsidR="004D6125" w:rsidRDefault="004D6125" w:rsidP="004D6125">
    <w:pPr>
      <w:pStyle w:val="Standard"/>
      <w:rPr>
        <w:rFonts w:ascii="Times New Roman" w:hAnsi="Times New Roman" w:cs="Times New Roman"/>
      </w:rPr>
    </w:pPr>
    <w:r>
      <w:rPr>
        <w:rFonts w:ascii="Times New Roman" w:hAnsi="Times New Roman" w:cs="Times New Roman"/>
      </w:rPr>
      <w:t xml:space="preserve">Załącznik nr </w:t>
    </w:r>
    <w:r w:rsidR="00B50FF1">
      <w:rPr>
        <w:rFonts w:ascii="Times New Roman" w:hAnsi="Times New Roman" w:cs="Times New Roman"/>
      </w:rPr>
      <w:t>2</w:t>
    </w:r>
  </w:p>
  <w:p w14:paraId="5CCD7557" w14:textId="77777777" w:rsidR="004D6125" w:rsidRDefault="004D612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5E2A" w14:textId="77777777" w:rsidR="004D6125" w:rsidRDefault="004D612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9CE"/>
    <w:rsid w:val="00013E9E"/>
    <w:rsid w:val="004D6125"/>
    <w:rsid w:val="005719CE"/>
    <w:rsid w:val="006B65D7"/>
    <w:rsid w:val="00B50FF1"/>
    <w:rsid w:val="00C7271D"/>
    <w:rsid w:val="00CA275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7D6E"/>
  <w15:docId w15:val="{977747A2-D42A-4478-8078-83BF0D45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Unicode MS"/>
      <w:sz w:val="28"/>
      <w:szCs w:val="28"/>
    </w:rPr>
  </w:style>
  <w:style w:type="paragraph" w:styleId="Tekstpodstawowy">
    <w:name w:val="Body Text"/>
    <w:basedOn w:val="Normalny"/>
    <w:pPr>
      <w:spacing w:after="14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B1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6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125"/>
  </w:style>
  <w:style w:type="paragraph" w:customStyle="1" w:styleId="Standard">
    <w:name w:val="Standard"/>
    <w:rsid w:val="004D6125"/>
    <w:pPr>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462</Words>
  <Characters>2777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Kopka</dc:creator>
  <dc:description/>
  <cp:lastModifiedBy>Renata Bogdanowicz</cp:lastModifiedBy>
  <cp:revision>13</cp:revision>
  <dcterms:created xsi:type="dcterms:W3CDTF">2024-02-21T17:43:00Z</dcterms:created>
  <dcterms:modified xsi:type="dcterms:W3CDTF">2024-02-27T11:45:00Z</dcterms:modified>
  <dc:language>pl-PL</dc:language>
</cp:coreProperties>
</file>