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1800"/>
        <w:gridCol w:w="9116"/>
      </w:tblGrid>
      <w:tr w:rsidR="0069114C" w14:paraId="1AB61BF0" w14:textId="77777777">
        <w:trPr>
          <w:trHeight w:val="2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0AFE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7F87" w14:textId="11AE273C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Minimalne wymagane parametry techniczne komputerów</w:t>
            </w:r>
            <w:r w:rsidR="0019530A"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 xml:space="preserve"> 1</w:t>
            </w:r>
            <w:r w:rsidR="003842D0"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19530A"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szt</w:t>
            </w:r>
          </w:p>
        </w:tc>
      </w:tr>
      <w:tr w:rsidR="0069114C" w14:paraId="107A076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7B03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Typ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FE1A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Komputer stacjonarny. W ofercie wymagane jest podanie modelu, symbolu oraz producenta.</w:t>
            </w:r>
          </w:p>
        </w:tc>
      </w:tr>
      <w:tr w:rsidR="0069114C" w14:paraId="203423B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0F92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2D21" w14:textId="77777777" w:rsidR="0069114C" w:rsidRDefault="00000000">
            <w:pPr>
              <w:widowControl w:val="0"/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Procesor dedykowany do pracy w komputerach stacjonarnych. Procesor osiągający w teście Passmark CPU Mark, w kategorii Average CPU Mark wynik co najmniej 32 100 pkt. według wyników opublikowanych na stronie </w:t>
            </w:r>
            <w:hyperlink r:id="rId7">
              <w:r>
                <w:rPr>
                  <w:rStyle w:val="Hipercze"/>
                  <w:rFonts w:ascii="Times New Roman" w:hAnsi="Times New Roman" w:cstheme="minorHAnsi"/>
                  <w:color w:val="000000" w:themeColor="text1"/>
                  <w:sz w:val="20"/>
                  <w:szCs w:val="20"/>
                </w:rPr>
                <w:t>http://www.cpubenchmark.net/cpu_list.php</w:t>
              </w:r>
            </w:hyperlink>
          </w:p>
        </w:tc>
      </w:tr>
      <w:tr w:rsidR="0069114C" w14:paraId="4D3AE0B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8CA2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C6F8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 xml:space="preserve">16 GB 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DDR4 3200MHz. Możliwość rozbudowy do min 64 GB. Jeden slot DIMM wolny.</w:t>
            </w:r>
          </w:p>
        </w:tc>
      </w:tr>
      <w:tr w:rsidR="0069114C" w14:paraId="0AC39EA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0D3D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Pamięć masowa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D1AD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Dysk M.2 SSD </w:t>
            </w:r>
            <w:r>
              <w:rPr>
                <w:rFonts w:ascii="Times New Roman" w:hAnsi="Times New Roman" w:cstheme="minorHAnsi"/>
                <w:b/>
                <w:bCs/>
                <w:color w:val="000000" w:themeColor="text1"/>
                <w:sz w:val="20"/>
                <w:szCs w:val="20"/>
              </w:rPr>
              <w:t>512 GB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 PCIe NVMe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br/>
              <w:t>Obudowa musi umożliwiać montaż dodatkowego dysku 2.5” lub 3.5”</w:t>
            </w:r>
          </w:p>
        </w:tc>
      </w:tr>
      <w:tr w:rsidR="0069114C" w14:paraId="2BAD351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7CF4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bCs/>
                <w:color w:val="000000" w:themeColor="text1"/>
                <w:sz w:val="20"/>
                <w:szCs w:val="20"/>
              </w:rPr>
              <w:t>Karta sieciowa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56C9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Karta sieciowa Ethernet 10/100/1000 zintegrowana z płytą główną, wspierająca obsługę</w:t>
            </w:r>
            <w:r>
              <w:rPr>
                <w:rFonts w:ascii="Times New Roman" w:hAnsi="Times New Roman" w:cstheme="minorHAnsi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Wake on Lan</w:t>
            </w:r>
          </w:p>
        </w:tc>
      </w:tr>
      <w:tr w:rsidR="0069114C" w14:paraId="3B97A90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6AB3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Napęd DVD-RW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1E3B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69114C" w14:paraId="72AA200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6B74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Karta graficzna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08EC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Zintegrowana karta graficzna</w:t>
            </w:r>
          </w:p>
        </w:tc>
      </w:tr>
      <w:tr w:rsidR="0069114C" w14:paraId="7A1D92A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5B4D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Wyposażenie multimedialne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9A2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Karta dźwiękowa min. dwukanałowa zintegrowana z płytą główną, zgodna z High Definition.</w:t>
            </w: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Port słuchawek i mikrofonu na przednim panelu, dopuszcza się rozwiązanie port combo. Wbudowany głośnik.</w:t>
            </w:r>
          </w:p>
        </w:tc>
      </w:tr>
      <w:tr w:rsidR="0069114C" w14:paraId="6282C22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4712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Zasilacz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7559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Zasilacz o mocy min. 180W pracujący w sieci 230V 50/60Hz prądu zmiennego. Certyfikat 80 plus. (Załączyć stosowny dokument potwierdzający np. specyfikację komputera)</w:t>
            </w:r>
          </w:p>
        </w:tc>
      </w:tr>
      <w:tr w:rsidR="0069114C" w14:paraId="3DA10345" w14:textId="77777777">
        <w:trPr>
          <w:trHeight w:val="4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3973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C957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Typu Small Form Factor Umożliwiająca montaż 1 x dysk 2.5” wewnątrz obudowy. Obudowa fabrycznie przystosowana do pracy w orientacji poziomej i pionowej. Każdy komputer powinien być oznaczony niepowtarzalnym numerem seryjnym nieumieszczonym na obudowie.</w:t>
            </w:r>
          </w:p>
        </w:tc>
      </w:tr>
      <w:tr w:rsidR="0069114C" w14:paraId="6DB17012" w14:textId="77777777">
        <w:trPr>
          <w:trHeight w:val="4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40DC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Diagnostyka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2D1C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System diagnostyczny z graficznym interfejsem użytkownika zaszyty w tej samej pamięci flash co BIOS, dostępny z poziomu szybkiego menu boot lub BIOS, umożliwiający przetestowanie komputera a w szczególności jego składowych. System zapewniający pełną funkcjonalność, a także zachowujący interfejs graficzny nawet w przypadku braku dysku twardego oraz jego uszkodzenia, nie wymagający stosowania zewnętrznych nośników pamięci masowej oraz dostępu do Internetu i sieci lokalnej.</w:t>
            </w:r>
          </w:p>
          <w:p w14:paraId="38DF684F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Procedura POST traktowana jest jako oddzielna funkcjonalność.</w:t>
            </w:r>
          </w:p>
        </w:tc>
      </w:tr>
      <w:tr w:rsidR="0069114C" w14:paraId="7DE1DF4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466B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Bezpieczeństwo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55A7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Zainstalowany na płycie głównej układ sprzętowy służący do tworzenia i zarządzania wygenerowanymi przez komputer kluczami szyfrowania.  Próba usunięcia dedykowanego układu doprowadzi do uszkodzenia całej płyty głównej.</w:t>
            </w:r>
          </w:p>
        </w:tc>
      </w:tr>
      <w:tr w:rsidR="0069114C" w14:paraId="7F17FC64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968E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BIOS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AC9D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BIOS zgodny ze specyfikacją UEFI,  zawierający logo producenta komputera lub nazwę producenta komputera lub nazwę modelu oferowanego komputera.</w:t>
            </w:r>
          </w:p>
          <w:p w14:paraId="5E44D382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Pełna obsługa BIOS za pomocą klawiatury i myszy oraz samej myszy.</w:t>
            </w:r>
          </w:p>
          <w:p w14:paraId="1172FF37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Możliwość, bez uruchamiania systemu operacyjnego z dysku twardego komputera, bez dodatkowego oprogramowania (w tym również systemu diagnostycznego) i podłączonych do niego urządzeń zewnętrznych odczytania z BIOS informacji o: wersji BIOS, nr seryjnym komputera.</w:t>
            </w:r>
          </w:p>
          <w:p w14:paraId="03B5A46C" w14:textId="77777777" w:rsidR="0069114C" w:rsidRDefault="00000000">
            <w:pPr>
              <w:widowControl w:val="0"/>
              <w:ind w:right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Funkcja blokowania/odblokowania BOOT-owania stacji roboczej z zewnętrznych urządzeń,</w:t>
            </w:r>
          </w:p>
          <w:p w14:paraId="6A7162A1" w14:textId="77777777" w:rsidR="0069114C" w:rsidRDefault="00000000">
            <w:pPr>
              <w:widowControl w:val="0"/>
              <w:ind w:right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Możliwość ustawienia z poziomu BIOS hasła użytkownika, administratora (hasła oddzielne).</w:t>
            </w:r>
          </w:p>
          <w:p w14:paraId="1AE19873" w14:textId="77777777" w:rsidR="0069114C" w:rsidRDefault="00000000">
            <w:pPr>
              <w:widowControl w:val="0"/>
              <w:ind w:right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Możliwość wyłączania portów USB.</w:t>
            </w:r>
          </w:p>
          <w:p w14:paraId="5BA24513" w14:textId="77777777" w:rsidR="0069114C" w:rsidRDefault="00000000">
            <w:pPr>
              <w:widowControl w:val="0"/>
              <w:ind w:right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Możliwość wykonania  kopii zapasowej BIOS wraz z ustawieniami.</w:t>
            </w:r>
          </w:p>
          <w:p w14:paraId="7B40C6CF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Oferowany BIOS musi posiadać poza swoją wewnętrzną strukturą menu szybkiego boot’owania które umożliwia m.in.: uruchamianie systemu zainstalowanego na dysku twardym, uruchamianie systemu z urządzeń zewnętrznych, uruchamianie systemu z serwera za pośrednictwem zintegrowanej karty sieciowej, uruchomienie graficznego systemu diagnostycznego, wejście do BIOS.</w:t>
            </w:r>
          </w:p>
        </w:tc>
      </w:tr>
      <w:tr w:rsidR="0069114C" w14:paraId="73C156B4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78A5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Wirtualizacja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3693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Sprzętowe wsparcie technologii wirtualizacji realizowane łącznie w procesorze, chipsecie płyty głównej oraz w  BIOS systemu</w:t>
            </w:r>
          </w:p>
        </w:tc>
      </w:tr>
      <w:tr w:rsidR="0069114C" w14:paraId="143489F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2529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System operacyjny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73C8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Zainstalowany system operacyjny </w:t>
            </w: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Windows 11 Professional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, musi być zapisany trwale w BIOS i umożliwiać reinstalację systemu operacyjnego </w:t>
            </w: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 xml:space="preserve">na podstawie dołączonego nośnika 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bez potrzeby ręcznego wpisywania klucza licencyjnego.</w:t>
            </w:r>
          </w:p>
        </w:tc>
      </w:tr>
      <w:tr w:rsidR="0069114C" w14:paraId="4459930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6994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Certyfikaty i standardy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3538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Certyfikat ISO 9001 dla producenta sprzętu (załączyć dokument potwierdzający spełnianie wymogu)</w:t>
            </w:r>
          </w:p>
          <w:p w14:paraId="2017991C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Deklaracja zgodności CE (załączyć do oferty)</w:t>
            </w:r>
          </w:p>
        </w:tc>
      </w:tr>
      <w:tr w:rsidR="0069114C" w14:paraId="66B8FEA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39F2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D5AD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Wbudowane porty:</w:t>
            </w:r>
          </w:p>
          <w:p w14:paraId="227222BE" w14:textId="77777777" w:rsidR="0069114C" w:rsidRDefault="00000000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1 x DisplayPort 1.4</w:t>
            </w:r>
          </w:p>
          <w:p w14:paraId="0FABA526" w14:textId="77777777" w:rsidR="0069114C" w:rsidRDefault="00000000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 xml:space="preserve">1 x HDMI 1.4 </w:t>
            </w: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  <w:u w:val="single"/>
              </w:rPr>
              <w:t>(dopuszczalny zamiennie drugi port DisplayPort)</w:t>
            </w:r>
          </w:p>
          <w:p w14:paraId="46EB5947" w14:textId="77777777" w:rsidR="0069114C" w:rsidRDefault="00000000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8 portów USB wyprowadzonych na zewnątrz obudowy, w układzie:</w:t>
            </w:r>
          </w:p>
          <w:p w14:paraId="4DCCD4A8" w14:textId="77777777" w:rsidR="0069114C" w:rsidRDefault="00000000">
            <w:pPr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Panel przedni: 2 x USB 3.2 Gen 1 Typu A oraz 2 x USB 2.0</w:t>
            </w:r>
          </w:p>
          <w:p w14:paraId="4606FF08" w14:textId="77777777" w:rsidR="0069114C" w:rsidRDefault="00000000">
            <w:pPr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Panel tylny: 2x USB 3.2 gen 1 Typu A, 2 x USB 2.0</w:t>
            </w:r>
          </w:p>
          <w:p w14:paraId="1572B31F" w14:textId="77777777" w:rsidR="0069114C" w:rsidRDefault="00000000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1 x port audio typu combo (słuchawka/mikrofon) na przednim panelu panelu</w:t>
            </w:r>
          </w:p>
          <w:p w14:paraId="6C4E5E3D" w14:textId="77777777" w:rsidR="0069114C" w:rsidRDefault="00000000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1 x RJ – 45</w:t>
            </w:r>
          </w:p>
          <w:p w14:paraId="158229EC" w14:textId="77777777" w:rsidR="0069114C" w:rsidRDefault="0069114C">
            <w:pPr>
              <w:widowControl w:val="0"/>
              <w:jc w:val="both"/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</w:pPr>
          </w:p>
          <w:p w14:paraId="3D8EFB9B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t>Wymagana ilość i rozmieszczenie (na zewnątrz obudowy komputera) wszystkich wyżej wymienionych portów</w:t>
            </w:r>
          </w:p>
          <w:p w14:paraId="31573DFB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  <w:lastRenderedPageBreak/>
              <w:t>nie może być osiągnięta w wyniku stosowania konwerterów, przejściówek lub przewodów połączeniowych itp.</w:t>
            </w:r>
          </w:p>
          <w:p w14:paraId="7AF18366" w14:textId="77777777" w:rsidR="0069114C" w:rsidRDefault="0069114C">
            <w:pPr>
              <w:widowControl w:val="0"/>
              <w:jc w:val="both"/>
              <w:rPr>
                <w:rFonts w:cstheme="minorHAnsi"/>
                <w:bCs/>
                <w:color w:val="000000" w:themeColor="text1"/>
              </w:rPr>
            </w:pPr>
          </w:p>
          <w:p w14:paraId="1E4AC942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bCs/>
                <w:color w:val="000000" w:themeColor="text1"/>
                <w:sz w:val="20"/>
                <w:szCs w:val="20"/>
              </w:rPr>
              <w:t>klawiatura przewodowa USB (EN/US)</w:t>
            </w:r>
          </w:p>
          <w:p w14:paraId="36179D5A" w14:textId="77777777" w:rsidR="0069114C" w:rsidRDefault="0000000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bCs/>
                <w:color w:val="000000" w:themeColor="text1"/>
                <w:sz w:val="20"/>
                <w:szCs w:val="20"/>
              </w:rPr>
              <w:t>Mysz optyczna USB z dwoma klawiszami oraz rolką (scroll)</w:t>
            </w:r>
          </w:p>
          <w:p w14:paraId="42FC5E43" w14:textId="77777777" w:rsidR="0069114C" w:rsidRDefault="0069114C">
            <w:pPr>
              <w:widowControl w:val="0"/>
              <w:rPr>
                <w:rFonts w:ascii="Times New Roman" w:hAnsi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69114C" w14:paraId="7FFEF2D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AC4C" w14:textId="77777777" w:rsidR="0069114C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color w:val="000000" w:themeColor="text1"/>
                <w:sz w:val="20"/>
                <w:szCs w:val="20"/>
              </w:rPr>
              <w:lastRenderedPageBreak/>
              <w:t>Warunki gwarancji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CDD4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36 miesięcy liczone od daty dostawy.</w:t>
            </w:r>
          </w:p>
          <w:p w14:paraId="77C01F45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Firma serwisująca musi posiadać min. ISO 9001 na świadczenie usług serwisowych oraz posiadać autoryzacje producenta urządzeń – dokumenty potwierdzające należy załączyć do oferty.</w:t>
            </w:r>
          </w:p>
          <w:p w14:paraId="207C916E" w14:textId="77777777" w:rsidR="0069114C" w:rsidRDefault="0069114C">
            <w:pPr>
              <w:widowControl w:val="0"/>
              <w:jc w:val="both"/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</w:pPr>
          </w:p>
          <w:p w14:paraId="65E3EA12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Sposób realizacji usług wsparcia technicznego:</w:t>
            </w:r>
          </w:p>
          <w:p w14:paraId="7397AED2" w14:textId="77777777" w:rsidR="0069114C" w:rsidRDefault="0000000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Telefoniczne zgłaszanie usterek w dni robocze w godzinach 8-17.</w:t>
            </w:r>
          </w:p>
          <w:p w14:paraId="1D1A98EA" w14:textId="77777777" w:rsidR="0069114C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Bezpłatny portal online producenta do zgłaszania usterek</w:t>
            </w:r>
          </w:p>
          <w:p w14:paraId="20690EC5" w14:textId="77777777" w:rsidR="0069114C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Wsparcie techniczne dla sprzętu będzie realizowane zdalnie lub w miejscu instalacji urządzenia, w zależności od rodzaju zgłaszanej awarii.</w:t>
            </w:r>
          </w:p>
          <w:p w14:paraId="79685329" w14:textId="77777777" w:rsidR="0069114C" w:rsidRDefault="0069114C">
            <w:pPr>
              <w:widowControl w:val="0"/>
              <w:jc w:val="both"/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</w:pPr>
          </w:p>
          <w:p w14:paraId="324B438E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Możliwość pobrania aktualnych wersji sterowników oraz firmware urządzenia za pośrednictwem strony internetowej producenta również dla urządzeń z nieaktywnym wsparciem technicznym.</w:t>
            </w:r>
          </w:p>
          <w:p w14:paraId="0C6B7B93" w14:textId="77777777" w:rsidR="0069114C" w:rsidRDefault="0069114C">
            <w:pPr>
              <w:widowControl w:val="0"/>
              <w:jc w:val="both"/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</w:pPr>
          </w:p>
          <w:p w14:paraId="127079D7" w14:textId="77777777" w:rsidR="0069114C" w:rsidRDefault="0000000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0"/>
                <w:szCs w:val="20"/>
              </w:rPr>
              <w:t>W przypadku wystąpienia awarii dysku twardego w urządzeniu objętym gwarancją, uszkodzony dysk twardy pozostaje u Zamawiającego.</w:t>
            </w:r>
          </w:p>
        </w:tc>
      </w:tr>
    </w:tbl>
    <w:p w14:paraId="72B7E63E" w14:textId="77777777" w:rsidR="0069114C" w:rsidRDefault="0069114C"/>
    <w:sectPr w:rsidR="00691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D825" w14:textId="77777777" w:rsidR="00D02022" w:rsidRDefault="00D02022">
      <w:r>
        <w:separator/>
      </w:r>
    </w:p>
  </w:endnote>
  <w:endnote w:type="continuationSeparator" w:id="0">
    <w:p w14:paraId="51801EEF" w14:textId="77777777" w:rsidR="00D02022" w:rsidRDefault="00D0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DF18" w14:textId="77777777" w:rsidR="00A8514E" w:rsidRDefault="00A85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6A2D" w14:textId="77777777" w:rsidR="0069114C" w:rsidRDefault="0069114C">
    <w:pPr>
      <w:pStyle w:val="Stopka"/>
    </w:pPr>
    <w:bookmarkStart w:id="0" w:name="DocumentMarkings1FooterFirstPage"/>
    <w:bookmarkEnd w:id="0"/>
  </w:p>
  <w:p w14:paraId="0B52F7CC" w14:textId="77777777" w:rsidR="0069114C" w:rsidRDefault="006911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532" w14:textId="77777777" w:rsidR="00A8514E" w:rsidRDefault="00A851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97C0" w14:textId="77777777" w:rsidR="00D02022" w:rsidRDefault="00D02022">
      <w:r>
        <w:separator/>
      </w:r>
    </w:p>
  </w:footnote>
  <w:footnote w:type="continuationSeparator" w:id="0">
    <w:p w14:paraId="53DCBE86" w14:textId="77777777" w:rsidR="00D02022" w:rsidRDefault="00D0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8B82" w14:textId="77777777" w:rsidR="00A8514E" w:rsidRDefault="00A85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9455" w14:textId="2FD7BB75" w:rsidR="00F62CD4" w:rsidRDefault="00F62CD4" w:rsidP="00F62CD4">
    <w:pPr>
      <w:pStyle w:val="Standar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nr </w:t>
    </w:r>
    <w:r w:rsidR="00A8514E">
      <w:rPr>
        <w:rFonts w:ascii="Times New Roman" w:hAnsi="Times New Roman" w:cs="Times New Roman"/>
      </w:rPr>
      <w:t>2</w:t>
    </w:r>
  </w:p>
  <w:p w14:paraId="64D0080C" w14:textId="77777777" w:rsidR="0069114C" w:rsidRDefault="0069114C">
    <w:pPr>
      <w:pStyle w:val="Nagwek"/>
    </w:pPr>
  </w:p>
  <w:p w14:paraId="1BD198FE" w14:textId="77777777" w:rsidR="0069114C" w:rsidRDefault="006911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C5BC" w14:textId="77777777" w:rsidR="00A8514E" w:rsidRDefault="00A851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2A6D"/>
    <w:multiLevelType w:val="multilevel"/>
    <w:tmpl w:val="AB6A7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36B42"/>
    <w:multiLevelType w:val="multilevel"/>
    <w:tmpl w:val="311C46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401A28"/>
    <w:multiLevelType w:val="multilevel"/>
    <w:tmpl w:val="3210E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28871673">
    <w:abstractNumId w:val="1"/>
  </w:num>
  <w:num w:numId="2" w16cid:durableId="648097327">
    <w:abstractNumId w:val="2"/>
  </w:num>
  <w:num w:numId="3" w16cid:durableId="11618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4C"/>
    <w:rsid w:val="0019530A"/>
    <w:rsid w:val="0028165A"/>
    <w:rsid w:val="003842D0"/>
    <w:rsid w:val="0069114C"/>
    <w:rsid w:val="009677DA"/>
    <w:rsid w:val="00A8514E"/>
    <w:rsid w:val="00D02022"/>
    <w:rsid w:val="00F62CD4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08B8"/>
  <w15:docId w15:val="{977747A2-D42A-4478-8078-83BF0D4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954F72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rsid w:val="00F62CD4"/>
    <w:pPr>
      <w:autoSpaceDN w:val="0"/>
      <w:textAlignment w:val="baseline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Cieślak</dc:creator>
  <dc:description/>
  <cp:lastModifiedBy>Renata Bogdanowicz</cp:lastModifiedBy>
  <cp:revision>5</cp:revision>
  <dcterms:created xsi:type="dcterms:W3CDTF">2024-02-22T07:31:00Z</dcterms:created>
  <dcterms:modified xsi:type="dcterms:W3CDTF">2024-02-27T11:45:00Z</dcterms:modified>
  <dc:language>pl-PL</dc:language>
</cp:coreProperties>
</file>